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29A" w:rsidRDefault="00B9129A">
      <w:pPr>
        <w:pStyle w:val="BodyText"/>
        <w:ind w:firstLine="0"/>
        <w:rPr>
          <w:rFonts w:ascii="Times New Roman"/>
          <w:sz w:val="20"/>
        </w:rPr>
      </w:pPr>
    </w:p>
    <w:p w:rsidR="00B9129A" w:rsidRDefault="00B9129A">
      <w:pPr>
        <w:pStyle w:val="BodyText"/>
        <w:spacing w:before="8"/>
        <w:ind w:firstLine="0"/>
        <w:rPr>
          <w:rFonts w:ascii="Times New Roman"/>
        </w:rPr>
      </w:pPr>
    </w:p>
    <w:p w:rsidR="00B9129A" w:rsidRDefault="007B0D6F">
      <w:pPr>
        <w:pStyle w:val="Heading1"/>
      </w:pPr>
      <w:r>
        <w:rPr>
          <w:noProof/>
          <w:lang w:bidi="ar-SA"/>
        </w:rPr>
        <w:drawing>
          <wp:anchor distT="0" distB="0" distL="0" distR="0" simplePos="0" relativeHeight="251655680" behindDoc="0" locked="0" layoutInCell="1" allowOverlap="1">
            <wp:simplePos x="0" y="0"/>
            <wp:positionH relativeFrom="page">
              <wp:posOffset>739140</wp:posOffset>
            </wp:positionH>
            <wp:positionV relativeFrom="paragraph">
              <wp:posOffset>-346040</wp:posOffset>
            </wp:positionV>
            <wp:extent cx="903732" cy="119786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03732" cy="1197864"/>
                    </a:xfrm>
                    <a:prstGeom prst="rect">
                      <a:avLst/>
                    </a:prstGeom>
                  </pic:spPr>
                </pic:pic>
              </a:graphicData>
            </a:graphic>
          </wp:anchor>
        </w:drawing>
      </w:r>
      <w:r>
        <w:t>Investment</w:t>
      </w:r>
      <w:r>
        <w:rPr>
          <w:spacing w:val="-3"/>
        </w:rPr>
        <w:t xml:space="preserve"> </w:t>
      </w:r>
      <w:r>
        <w:t>Policy</w:t>
      </w:r>
    </w:p>
    <w:p w:rsidR="00B9129A" w:rsidRDefault="00B9129A">
      <w:pPr>
        <w:pStyle w:val="BodyText"/>
        <w:ind w:firstLine="0"/>
        <w:rPr>
          <w:b/>
          <w:sz w:val="20"/>
        </w:rPr>
      </w:pPr>
    </w:p>
    <w:p w:rsidR="00B9129A" w:rsidRDefault="00B9129A">
      <w:pPr>
        <w:pStyle w:val="BodyText"/>
        <w:ind w:firstLine="0"/>
        <w:rPr>
          <w:b/>
          <w:sz w:val="20"/>
        </w:rPr>
      </w:pPr>
    </w:p>
    <w:p w:rsidR="00B9129A" w:rsidRDefault="00B9129A">
      <w:pPr>
        <w:pStyle w:val="BodyText"/>
        <w:ind w:firstLine="0"/>
        <w:rPr>
          <w:b/>
          <w:sz w:val="20"/>
        </w:rPr>
      </w:pPr>
    </w:p>
    <w:p w:rsidR="00B9129A" w:rsidRDefault="00B9129A">
      <w:pPr>
        <w:pStyle w:val="BodyText"/>
        <w:ind w:firstLine="0"/>
        <w:rPr>
          <w:b/>
          <w:sz w:val="20"/>
        </w:rPr>
      </w:pPr>
    </w:p>
    <w:p w:rsidR="00B9129A" w:rsidRDefault="00DA1D8D">
      <w:pPr>
        <w:pStyle w:val="BodyText"/>
        <w:spacing w:before="10"/>
        <w:ind w:firstLine="0"/>
        <w:rPr>
          <w:b/>
          <w:sz w:val="16"/>
        </w:rPr>
      </w:pPr>
      <w:r>
        <w:rPr>
          <w:noProof/>
          <w:lang w:bidi="ar-SA"/>
        </w:rPr>
        <mc:AlternateContent>
          <mc:Choice Requires="wps">
            <w:drawing>
              <wp:anchor distT="0" distB="0" distL="0" distR="0" simplePos="0" relativeHeight="251658752" behindDoc="1" locked="0" layoutInCell="1" allowOverlap="1" wp14:anchorId="27325EF4" wp14:editId="527178F4">
                <wp:simplePos x="0" y="0"/>
                <wp:positionH relativeFrom="page">
                  <wp:posOffset>843280</wp:posOffset>
                </wp:positionH>
                <wp:positionV relativeFrom="paragraph">
                  <wp:posOffset>148590</wp:posOffset>
                </wp:positionV>
                <wp:extent cx="6088380" cy="1099185"/>
                <wp:effectExtent l="5080" t="13335" r="12065" b="11430"/>
                <wp:wrapTopAndBottom/>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099185"/>
                        </a:xfrm>
                        <a:prstGeom prst="rect">
                          <a:avLst/>
                        </a:prstGeom>
                        <a:solidFill>
                          <a:srgbClr val="E1EED9"/>
                        </a:solidFill>
                        <a:ln w="6096">
                          <a:solidFill>
                            <a:srgbClr val="000000"/>
                          </a:solidFill>
                          <a:prstDash val="solid"/>
                          <a:miter lim="800000"/>
                          <a:headEnd/>
                          <a:tailEnd/>
                        </a:ln>
                      </wps:spPr>
                      <wps:txbx>
                        <w:txbxContent>
                          <w:p w:rsidR="00B9129A" w:rsidRDefault="007B0D6F">
                            <w:pPr>
                              <w:spacing w:before="20"/>
                              <w:ind w:left="108"/>
                              <w:rPr>
                                <w:b/>
                                <w:sz w:val="26"/>
                              </w:rPr>
                            </w:pPr>
                            <w:r>
                              <w:rPr>
                                <w:b/>
                                <w:sz w:val="26"/>
                              </w:rPr>
                              <w:t>Purpose</w:t>
                            </w:r>
                          </w:p>
                          <w:p w:rsidR="00B9129A" w:rsidRDefault="007B0D6F">
                            <w:pPr>
                              <w:pStyle w:val="BodyText"/>
                              <w:spacing w:before="44" w:line="276" w:lineRule="auto"/>
                              <w:ind w:left="108" w:right="153" w:firstLine="0"/>
                            </w:pPr>
                            <w:r>
                              <w:t>The purpose of this Investment Policy for Marion-Polk Food Share (the Food Share) is to provide a clear statement of investment objectives, define the responsibilities and authorities of the Board of Directors and other parties responsible for managing Food Share’s resources, and to identify permissible investment vehicles.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325EF4" id="_x0000_t202" coordsize="21600,21600" o:spt="202" path="m,l,21600r21600,l21600,xe">
                <v:stroke joinstyle="miter"/>
                <v:path gradientshapeok="t" o:connecttype="rect"/>
              </v:shapetype>
              <v:shape id="Text Box 13" o:spid="_x0000_s1026" type="#_x0000_t202" style="position:absolute;margin-left:66.4pt;margin-top:11.7pt;width:479.4pt;height:86.5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" fillcolor="#e1eed9" strokeweight=".48pt">
                <v:textbox inset="0,0,0,0">
                  <w:txbxContent>
                    <w:p w:rsidR="00B9129A" w:rsidRDefault="007B0D6F">
                      <w:pPr>
                        <w:spacing w:before="20"/>
                        <w:ind w:left="108"/>
                        <w:rPr>
                          <w:b/>
                          <w:sz w:val="26"/>
                        </w:rPr>
                      </w:pPr>
                      <w:r>
                        <w:rPr>
                          <w:b/>
                          <w:sz w:val="26"/>
                        </w:rPr>
                        <w:t>Purpose</w:t>
                      </w:r>
                    </w:p>
                    <w:p w:rsidR="00B9129A" w:rsidRDefault="007B0D6F">
                      <w:pPr>
                        <w:pStyle w:val="BodyText"/>
                        <w:spacing w:before="44" w:line="276" w:lineRule="auto"/>
                        <w:ind w:left="108" w:right="153" w:firstLine="0"/>
                      </w:pPr>
                      <w:r>
                        <w:t>The purpose of this Investment Policy for Marion-Polk Food Share (the Food Share) is to provide a clear statement of investment objectives, define the responsibilities and authorities of the Board of Directors and other parties responsible for managing Food Share’s resources, and to identify permissible investment vehicles.</w:t>
                      </w:r>
                    </w:p>
                  </w:txbxContent>
                </v:textbox>
                <w10:wrap type="topAndBottom" anchorx="page"/>
              </v:shape>
            </w:pict>
          </mc:Fallback>
        </mc:AlternateContent>
      </w:r>
    </w:p>
    <w:p w:rsidR="00B9129A" w:rsidRDefault="008860C2">
      <w:pPr>
        <w:spacing w:before="318"/>
        <w:ind w:left="3664" w:right="3506"/>
        <w:jc w:val="center"/>
        <w:rPr>
          <w:b/>
          <w:sz w:val="36"/>
        </w:rPr>
      </w:pPr>
      <w:r>
        <w:rPr>
          <w:noProof/>
          <w:lang w:bidi="ar-SA"/>
        </w:rPr>
        <mc:AlternateContent>
          <mc:Choice Requires="wpg">
            <w:drawing>
              <wp:anchor distT="0" distB="0" distL="114300" distR="114300" simplePos="0" relativeHeight="251656704" behindDoc="1" locked="0" layoutInCell="1" allowOverlap="1" wp14:anchorId="790BC655" wp14:editId="53C49640">
                <wp:simplePos x="0" y="0"/>
                <wp:positionH relativeFrom="page">
                  <wp:posOffset>857250</wp:posOffset>
                </wp:positionH>
                <wp:positionV relativeFrom="paragraph">
                  <wp:posOffset>1346835</wp:posOffset>
                </wp:positionV>
                <wp:extent cx="6066790" cy="5133975"/>
                <wp:effectExtent l="0" t="0" r="10160" b="28575"/>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790" cy="5133975"/>
                          <a:chOff x="1344" y="3711"/>
                          <a:chExt cx="9554" cy="9660"/>
                        </a:xfrm>
                      </wpg:grpSpPr>
                      <wps:wsp>
                        <wps:cNvPr id="16" name="Freeform 21"/>
                        <wps:cNvSpPr>
                          <a:spLocks/>
                        </wps:cNvSpPr>
                        <wps:spPr bwMode="auto">
                          <a:xfrm>
                            <a:off x="1356" y="3722"/>
                            <a:ext cx="9530" cy="9638"/>
                          </a:xfrm>
                          <a:custGeom>
                            <a:avLst/>
                            <a:gdLst>
                              <a:gd name="T0" fmla="+- 0 10886 1356"/>
                              <a:gd name="T1" fmla="*/ T0 w 9530"/>
                              <a:gd name="T2" fmla="+- 0 3723 3723"/>
                              <a:gd name="T3" fmla="*/ 3723 h 9638"/>
                              <a:gd name="T4" fmla="+- 0 10783 1356"/>
                              <a:gd name="T5" fmla="*/ T4 w 9530"/>
                              <a:gd name="T6" fmla="+- 0 3723 3723"/>
                              <a:gd name="T7" fmla="*/ 3723 h 9638"/>
                              <a:gd name="T8" fmla="+- 0 1457 1356"/>
                              <a:gd name="T9" fmla="*/ T8 w 9530"/>
                              <a:gd name="T10" fmla="+- 0 3723 3723"/>
                              <a:gd name="T11" fmla="*/ 3723 h 9638"/>
                              <a:gd name="T12" fmla="+- 0 1356 1356"/>
                              <a:gd name="T13" fmla="*/ T12 w 9530"/>
                              <a:gd name="T14" fmla="+- 0 3723 3723"/>
                              <a:gd name="T15" fmla="*/ 3723 h 9638"/>
                              <a:gd name="T16" fmla="+- 0 1356 1356"/>
                              <a:gd name="T17" fmla="*/ T16 w 9530"/>
                              <a:gd name="T18" fmla="+- 0 13360 3723"/>
                              <a:gd name="T19" fmla="*/ 13360 h 9638"/>
                              <a:gd name="T20" fmla="+- 0 1457 1356"/>
                              <a:gd name="T21" fmla="*/ T20 w 9530"/>
                              <a:gd name="T22" fmla="+- 0 13360 3723"/>
                              <a:gd name="T23" fmla="*/ 13360 h 9638"/>
                              <a:gd name="T24" fmla="+- 0 10783 1356"/>
                              <a:gd name="T25" fmla="*/ T24 w 9530"/>
                              <a:gd name="T26" fmla="+- 0 13360 3723"/>
                              <a:gd name="T27" fmla="*/ 13360 h 9638"/>
                              <a:gd name="T28" fmla="+- 0 10886 1356"/>
                              <a:gd name="T29" fmla="*/ T28 w 9530"/>
                              <a:gd name="T30" fmla="+- 0 13360 3723"/>
                              <a:gd name="T31" fmla="*/ 13360 h 9638"/>
                              <a:gd name="T32" fmla="+- 0 10886 1356"/>
                              <a:gd name="T33" fmla="*/ T32 w 9530"/>
                              <a:gd name="T34" fmla="+- 0 3723 3723"/>
                              <a:gd name="T35" fmla="*/ 3723 h 96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530" h="9638">
                                <a:moveTo>
                                  <a:pt x="9530" y="0"/>
                                </a:moveTo>
                                <a:lnTo>
                                  <a:pt x="9427" y="0"/>
                                </a:lnTo>
                                <a:lnTo>
                                  <a:pt x="101" y="0"/>
                                </a:lnTo>
                                <a:lnTo>
                                  <a:pt x="0" y="0"/>
                                </a:lnTo>
                                <a:lnTo>
                                  <a:pt x="0" y="9637"/>
                                </a:lnTo>
                                <a:lnTo>
                                  <a:pt x="101" y="9637"/>
                                </a:lnTo>
                                <a:lnTo>
                                  <a:pt x="9427" y="9637"/>
                                </a:lnTo>
                                <a:lnTo>
                                  <a:pt x="9530" y="9637"/>
                                </a:lnTo>
                                <a:lnTo>
                                  <a:pt x="9530" y="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0"/>
                        <wps:cNvCnPr>
                          <a:cxnSpLocks noChangeShapeType="1"/>
                        </wps:cNvCnPr>
                        <wps:spPr bwMode="auto">
                          <a:xfrm>
                            <a:off x="1354" y="3715"/>
                            <a:ext cx="95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9"/>
                        <wps:cNvCnPr>
                          <a:cxnSpLocks noChangeShapeType="1"/>
                        </wps:cNvCnPr>
                        <wps:spPr bwMode="auto">
                          <a:xfrm>
                            <a:off x="1349" y="3711"/>
                            <a:ext cx="0" cy="96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Rectangle 18"/>
                        <wps:cNvSpPr>
                          <a:spLocks noChangeArrowheads="1"/>
                        </wps:cNvSpPr>
                        <wps:spPr bwMode="auto">
                          <a:xfrm>
                            <a:off x="1344" y="1336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7"/>
                        <wps:cNvCnPr>
                          <a:cxnSpLocks noChangeShapeType="1"/>
                        </wps:cNvCnPr>
                        <wps:spPr bwMode="auto">
                          <a:xfrm>
                            <a:off x="1354" y="13365"/>
                            <a:ext cx="95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6"/>
                        <wps:cNvCnPr>
                          <a:cxnSpLocks noChangeShapeType="1"/>
                        </wps:cNvCnPr>
                        <wps:spPr bwMode="auto">
                          <a:xfrm>
                            <a:off x="10894" y="3711"/>
                            <a:ext cx="0" cy="96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Rectangle 15"/>
                        <wps:cNvSpPr>
                          <a:spLocks noChangeArrowheads="1"/>
                        </wps:cNvSpPr>
                        <wps:spPr bwMode="auto">
                          <a:xfrm>
                            <a:off x="10888" y="1336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DA7999" id="Group 14" o:spid="_x0000_s1026" style="position:absolute;margin-left:67.5pt;margin-top:106.05pt;width:477.7pt;height:404.25pt;z-index:-251659776;mso-position-horizontal-relative:page" coordorigin="1344,3711" coordsize="9554,9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">
                <v:shape id="Freeform 21" o:spid="_x0000_s1027" style="position:absolute;left:1356;top:3722;width:9530;height:9638;visibility:visible;mso-wrap-style:square;v-text-anchor:top" coordsize="9530,9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" path="m9530,l9427,,101,,,,,9637r101,l9427,9637r103,l9530,e" fillcolor="#f1f1f1" stroked="f">
                  <v:path arrowok="t" o:connecttype="custom" o:connectlocs="9530,3723;9427,3723;101,3723;0,3723;0,13360;101,13360;9427,13360;9530,13360;9530,3723" o:connectangles="0,0,0,0,0,0,0,0,0"/>
                </v:shape>
                <v:line id="Line 20" o:spid="_x0000_s1028" style="position:absolute;visibility:visible;mso-wrap-style:square" from="1354,3715" to="10889,3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19" o:spid="_x0000_s1029" style="position:absolute;visibility:visible;mso-wrap-style:square" from="1349,3711" to="1349,13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rect id="Rectangle 18" o:spid="_x0000_s1030" style="position:absolute;left:1344;top:1336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line id="Line 17" o:spid="_x0000_s1031" style="position:absolute;visibility:visible;mso-wrap-style:square" from="1354,13365" to="10889,1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16" o:spid="_x0000_s1032" style="position:absolute;visibility:visible;mso-wrap-style:square" from="10894,3711" to="10894,13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rect id="Rectangle 15" o:spid="_x0000_s1033" style="position:absolute;left:10888;top:1336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w10:wrap anchorx="page"/>
              </v:group>
            </w:pict>
          </mc:Fallback>
        </mc:AlternateContent>
      </w:r>
      <w:r w:rsidR="007B0D6F">
        <w:rPr>
          <w:b/>
          <w:sz w:val="36"/>
        </w:rPr>
        <w:t>Investment</w:t>
      </w:r>
      <w:r w:rsidR="007B0D6F">
        <w:rPr>
          <w:b/>
          <w:spacing w:val="-3"/>
          <w:sz w:val="36"/>
        </w:rPr>
        <w:t xml:space="preserve"> </w:t>
      </w:r>
      <w:r w:rsidR="007B0D6F">
        <w:rPr>
          <w:b/>
          <w:sz w:val="36"/>
        </w:rPr>
        <w:t>Policy</w:t>
      </w:r>
    </w:p>
    <w:p w:rsidR="00B9129A" w:rsidRDefault="00B9129A">
      <w:pPr>
        <w:pStyle w:val="BodyText"/>
        <w:spacing w:before="3"/>
        <w:ind w:firstLine="0"/>
        <w:rPr>
          <w:b/>
          <w:sz w:val="21"/>
        </w:rPr>
      </w:pPr>
    </w:p>
    <w:p w:rsidR="00B9129A" w:rsidRDefault="007B0D6F">
      <w:pPr>
        <w:pStyle w:val="Heading2"/>
        <w:spacing w:before="100"/>
      </w:pPr>
      <w:r>
        <w:t>Investment objective</w:t>
      </w:r>
    </w:p>
    <w:p w:rsidR="00B9129A" w:rsidRDefault="007B0D6F">
      <w:pPr>
        <w:pStyle w:val="BodyText"/>
        <w:spacing w:before="43" w:line="276" w:lineRule="auto"/>
        <w:ind w:left="397" w:firstLine="0"/>
      </w:pPr>
      <w:r>
        <w:t>The objective of Food Share investments is to balance rates of return on investments against the risks of loss and expenses. This is done by planning, diversification, and monitoring.</w:t>
      </w:r>
    </w:p>
    <w:p w:rsidR="00B9129A" w:rsidRDefault="00B9129A">
      <w:pPr>
        <w:pStyle w:val="BodyText"/>
        <w:ind w:firstLine="0"/>
        <w:rPr>
          <w:sz w:val="21"/>
        </w:rPr>
      </w:pPr>
    </w:p>
    <w:p w:rsidR="00B9129A" w:rsidRDefault="007B0D6F">
      <w:pPr>
        <w:pStyle w:val="Heading2"/>
        <w:spacing w:before="99"/>
      </w:pPr>
      <w:r>
        <w:t>General provisions</w:t>
      </w:r>
    </w:p>
    <w:p w:rsidR="00B9129A" w:rsidRDefault="007B0D6F">
      <w:pPr>
        <w:pStyle w:val="ListParagraph"/>
        <w:numPr>
          <w:ilvl w:val="0"/>
          <w:numId w:val="2"/>
        </w:numPr>
        <w:tabs>
          <w:tab w:val="left" w:pos="1117"/>
          <w:tab w:val="left" w:pos="1118"/>
        </w:tabs>
        <w:spacing w:before="43"/>
        <w:rPr>
          <w:sz w:val="26"/>
        </w:rPr>
      </w:pPr>
      <w:r>
        <w:rPr>
          <w:sz w:val="26"/>
        </w:rPr>
        <w:t>All transactions shall be for the sole benefit of the Food</w:t>
      </w:r>
      <w:r>
        <w:rPr>
          <w:spacing w:val="-7"/>
          <w:sz w:val="26"/>
        </w:rPr>
        <w:t xml:space="preserve"> </w:t>
      </w:r>
      <w:r>
        <w:rPr>
          <w:sz w:val="26"/>
        </w:rPr>
        <w:t>Share.</w:t>
      </w:r>
    </w:p>
    <w:p w:rsidR="00B9129A" w:rsidRDefault="007B0D6F">
      <w:pPr>
        <w:pStyle w:val="ListParagraph"/>
        <w:numPr>
          <w:ilvl w:val="0"/>
          <w:numId w:val="2"/>
        </w:numPr>
        <w:tabs>
          <w:tab w:val="left" w:pos="1117"/>
          <w:tab w:val="left" w:pos="1118"/>
        </w:tabs>
        <w:spacing w:before="44" w:line="273" w:lineRule="auto"/>
        <w:ind w:right="309"/>
        <w:rPr>
          <w:sz w:val="26"/>
        </w:rPr>
      </w:pPr>
      <w:r>
        <w:rPr>
          <w:sz w:val="26"/>
        </w:rPr>
        <w:t>The</w:t>
      </w:r>
      <w:r>
        <w:rPr>
          <w:spacing w:val="-3"/>
          <w:sz w:val="26"/>
        </w:rPr>
        <w:t xml:space="preserve"> </w:t>
      </w:r>
      <w:r>
        <w:rPr>
          <w:sz w:val="26"/>
        </w:rPr>
        <w:t>Directors</w:t>
      </w:r>
      <w:r>
        <w:rPr>
          <w:spacing w:val="-4"/>
          <w:sz w:val="26"/>
        </w:rPr>
        <w:t xml:space="preserve"> </w:t>
      </w:r>
      <w:r>
        <w:rPr>
          <w:sz w:val="26"/>
        </w:rPr>
        <w:t>shall</w:t>
      </w:r>
      <w:r>
        <w:rPr>
          <w:spacing w:val="-4"/>
          <w:sz w:val="26"/>
        </w:rPr>
        <w:t xml:space="preserve"> </w:t>
      </w:r>
      <w:r>
        <w:rPr>
          <w:sz w:val="26"/>
        </w:rPr>
        <w:t>review</w:t>
      </w:r>
      <w:r>
        <w:rPr>
          <w:spacing w:val="-4"/>
          <w:sz w:val="26"/>
        </w:rPr>
        <w:t xml:space="preserve"> </w:t>
      </w:r>
      <w:r>
        <w:rPr>
          <w:sz w:val="26"/>
        </w:rPr>
        <w:t>and</w:t>
      </w:r>
      <w:r>
        <w:rPr>
          <w:spacing w:val="-4"/>
          <w:sz w:val="26"/>
        </w:rPr>
        <w:t xml:space="preserve"> </w:t>
      </w:r>
      <w:r>
        <w:rPr>
          <w:sz w:val="26"/>
        </w:rPr>
        <w:t>approve</w:t>
      </w:r>
      <w:r>
        <w:rPr>
          <w:spacing w:val="-2"/>
          <w:sz w:val="26"/>
        </w:rPr>
        <w:t xml:space="preserve"> </w:t>
      </w:r>
      <w:r>
        <w:rPr>
          <w:sz w:val="26"/>
        </w:rPr>
        <w:t>the</w:t>
      </w:r>
      <w:r>
        <w:rPr>
          <w:spacing w:val="-5"/>
          <w:sz w:val="26"/>
        </w:rPr>
        <w:t xml:space="preserve"> </w:t>
      </w:r>
      <w:r>
        <w:rPr>
          <w:sz w:val="26"/>
        </w:rPr>
        <w:t>Investment</w:t>
      </w:r>
      <w:r>
        <w:rPr>
          <w:spacing w:val="-5"/>
          <w:sz w:val="26"/>
        </w:rPr>
        <w:t xml:space="preserve"> </w:t>
      </w:r>
      <w:r>
        <w:rPr>
          <w:sz w:val="26"/>
        </w:rPr>
        <w:t>Policy</w:t>
      </w:r>
      <w:r>
        <w:rPr>
          <w:spacing w:val="-5"/>
          <w:sz w:val="26"/>
        </w:rPr>
        <w:t xml:space="preserve"> </w:t>
      </w:r>
      <w:r>
        <w:rPr>
          <w:sz w:val="26"/>
        </w:rPr>
        <w:t>annually</w:t>
      </w:r>
      <w:r>
        <w:rPr>
          <w:spacing w:val="-4"/>
          <w:sz w:val="26"/>
        </w:rPr>
        <w:t xml:space="preserve"> </w:t>
      </w:r>
      <w:r>
        <w:rPr>
          <w:sz w:val="26"/>
        </w:rPr>
        <w:t>to</w:t>
      </w:r>
      <w:r>
        <w:rPr>
          <w:spacing w:val="-6"/>
          <w:sz w:val="26"/>
        </w:rPr>
        <w:t xml:space="preserve"> </w:t>
      </w:r>
      <w:r>
        <w:rPr>
          <w:sz w:val="26"/>
        </w:rPr>
        <w:t>consider</w:t>
      </w:r>
      <w:r>
        <w:rPr>
          <w:spacing w:val="-4"/>
          <w:sz w:val="26"/>
        </w:rPr>
        <w:t xml:space="preserve"> </w:t>
      </w:r>
      <w:r>
        <w:rPr>
          <w:sz w:val="26"/>
        </w:rPr>
        <w:t>if circumstances warrant a</w:t>
      </w:r>
      <w:r>
        <w:rPr>
          <w:spacing w:val="-3"/>
          <w:sz w:val="26"/>
        </w:rPr>
        <w:t xml:space="preserve"> </w:t>
      </w:r>
      <w:r>
        <w:rPr>
          <w:sz w:val="26"/>
        </w:rPr>
        <w:t>change.</w:t>
      </w:r>
    </w:p>
    <w:p w:rsidR="00B9129A" w:rsidRDefault="007B0D6F">
      <w:pPr>
        <w:pStyle w:val="ListParagraph"/>
        <w:numPr>
          <w:ilvl w:val="0"/>
          <w:numId w:val="2"/>
        </w:numPr>
        <w:tabs>
          <w:tab w:val="left" w:pos="1117"/>
          <w:tab w:val="left" w:pos="1118"/>
        </w:tabs>
        <w:spacing w:before="3" w:line="273" w:lineRule="auto"/>
        <w:ind w:right="424"/>
        <w:rPr>
          <w:sz w:val="26"/>
        </w:rPr>
      </w:pPr>
      <w:r>
        <w:rPr>
          <w:sz w:val="26"/>
        </w:rPr>
        <w:t>The Directors shall ensure proper periodic review Food Share investments to verify their existence, rates of return, and compliance with this</w:t>
      </w:r>
      <w:r>
        <w:rPr>
          <w:spacing w:val="-8"/>
          <w:sz w:val="26"/>
        </w:rPr>
        <w:t xml:space="preserve"> </w:t>
      </w:r>
      <w:r>
        <w:rPr>
          <w:sz w:val="26"/>
        </w:rPr>
        <w:t>policy.</w:t>
      </w:r>
    </w:p>
    <w:p w:rsidR="00B9129A" w:rsidRDefault="00B9129A">
      <w:pPr>
        <w:pStyle w:val="BodyText"/>
        <w:spacing w:before="4"/>
        <w:ind w:firstLine="0"/>
        <w:rPr>
          <w:sz w:val="21"/>
        </w:rPr>
      </w:pPr>
    </w:p>
    <w:p w:rsidR="00B9129A" w:rsidRDefault="007B0D6F">
      <w:pPr>
        <w:pStyle w:val="Heading2"/>
        <w:spacing w:before="100"/>
      </w:pPr>
      <w:r>
        <w:t>Delegation of responsibility; reliance on experts and advisors</w:t>
      </w:r>
    </w:p>
    <w:p w:rsidR="00B9129A" w:rsidRDefault="007B0D6F">
      <w:pPr>
        <w:pStyle w:val="ListParagraph"/>
        <w:numPr>
          <w:ilvl w:val="0"/>
          <w:numId w:val="2"/>
        </w:numPr>
        <w:tabs>
          <w:tab w:val="left" w:pos="1117"/>
          <w:tab w:val="left" w:pos="1118"/>
        </w:tabs>
        <w:spacing w:before="42" w:line="273" w:lineRule="auto"/>
        <w:ind w:right="1087"/>
        <w:rPr>
          <w:sz w:val="26"/>
        </w:rPr>
      </w:pPr>
      <w:r>
        <w:rPr>
          <w:sz w:val="26"/>
        </w:rPr>
        <w:t>The Board, or its delegated committee, is charged with managing Food</w:t>
      </w:r>
      <w:r>
        <w:rPr>
          <w:spacing w:val="-28"/>
          <w:sz w:val="26"/>
        </w:rPr>
        <w:t xml:space="preserve"> </w:t>
      </w:r>
      <w:r>
        <w:rPr>
          <w:sz w:val="26"/>
        </w:rPr>
        <w:t>Share investments</w:t>
      </w:r>
      <w:r>
        <w:rPr>
          <w:spacing w:val="-3"/>
          <w:sz w:val="26"/>
        </w:rPr>
        <w:t xml:space="preserve"> </w:t>
      </w:r>
      <w:r>
        <w:rPr>
          <w:sz w:val="26"/>
        </w:rPr>
        <w:t>including:</w:t>
      </w:r>
    </w:p>
    <w:p w:rsidR="00B9129A" w:rsidRDefault="007B0D6F">
      <w:pPr>
        <w:pStyle w:val="ListParagraph"/>
        <w:numPr>
          <w:ilvl w:val="1"/>
          <w:numId w:val="2"/>
        </w:numPr>
        <w:tabs>
          <w:tab w:val="left" w:pos="1838"/>
        </w:tabs>
        <w:spacing w:before="4"/>
        <w:rPr>
          <w:sz w:val="26"/>
        </w:rPr>
      </w:pPr>
      <w:r>
        <w:rPr>
          <w:sz w:val="26"/>
        </w:rPr>
        <w:t>Determining the need for liquidity and appropriate investment</w:t>
      </w:r>
      <w:r>
        <w:rPr>
          <w:spacing w:val="-13"/>
          <w:sz w:val="26"/>
        </w:rPr>
        <w:t xml:space="preserve"> </w:t>
      </w:r>
      <w:r>
        <w:rPr>
          <w:sz w:val="26"/>
        </w:rPr>
        <w:t>duration,</w:t>
      </w:r>
    </w:p>
    <w:p w:rsidR="00B9129A" w:rsidRDefault="007B0D6F">
      <w:pPr>
        <w:pStyle w:val="ListParagraph"/>
        <w:numPr>
          <w:ilvl w:val="1"/>
          <w:numId w:val="2"/>
        </w:numPr>
        <w:tabs>
          <w:tab w:val="left" w:pos="1838"/>
        </w:tabs>
        <w:spacing w:line="266" w:lineRule="auto"/>
        <w:ind w:right="381"/>
        <w:rPr>
          <w:sz w:val="26"/>
        </w:rPr>
      </w:pPr>
      <w:r>
        <w:rPr>
          <w:sz w:val="26"/>
        </w:rPr>
        <w:t>Setting the level of tolerance for volatility and potential unrealized or</w:t>
      </w:r>
      <w:r>
        <w:rPr>
          <w:spacing w:val="-43"/>
          <w:sz w:val="26"/>
        </w:rPr>
        <w:t xml:space="preserve"> </w:t>
      </w:r>
      <w:r>
        <w:rPr>
          <w:sz w:val="26"/>
        </w:rPr>
        <w:t>realized investment</w:t>
      </w:r>
      <w:r>
        <w:rPr>
          <w:spacing w:val="-3"/>
          <w:sz w:val="26"/>
        </w:rPr>
        <w:t xml:space="preserve"> </w:t>
      </w:r>
      <w:r>
        <w:rPr>
          <w:sz w:val="26"/>
        </w:rPr>
        <w:t>losses,</w:t>
      </w:r>
    </w:p>
    <w:p w:rsidR="00B9129A" w:rsidRDefault="007B0D6F">
      <w:pPr>
        <w:pStyle w:val="ListParagraph"/>
        <w:numPr>
          <w:ilvl w:val="1"/>
          <w:numId w:val="2"/>
        </w:numPr>
        <w:tabs>
          <w:tab w:val="left" w:pos="1838"/>
        </w:tabs>
        <w:spacing w:before="12" w:line="268" w:lineRule="auto"/>
        <w:ind w:right="417"/>
        <w:rPr>
          <w:sz w:val="26"/>
        </w:rPr>
      </w:pPr>
      <w:r>
        <w:rPr>
          <w:sz w:val="26"/>
        </w:rPr>
        <w:t>Engaging or not engaging investment advisors and custodians as</w:t>
      </w:r>
      <w:r>
        <w:rPr>
          <w:spacing w:val="-43"/>
          <w:sz w:val="26"/>
        </w:rPr>
        <w:t xml:space="preserve"> </w:t>
      </w:r>
      <w:r>
        <w:rPr>
          <w:sz w:val="26"/>
        </w:rPr>
        <w:t>appropriate for the economic</w:t>
      </w:r>
      <w:r>
        <w:rPr>
          <w:spacing w:val="-2"/>
          <w:sz w:val="26"/>
        </w:rPr>
        <w:t xml:space="preserve"> </w:t>
      </w:r>
      <w:r>
        <w:rPr>
          <w:sz w:val="26"/>
        </w:rPr>
        <w:t>circumstances.</w:t>
      </w:r>
    </w:p>
    <w:p w:rsidR="00B9129A" w:rsidRDefault="00B9129A">
      <w:pPr>
        <w:spacing w:line="268" w:lineRule="auto"/>
        <w:rPr>
          <w:sz w:val="26"/>
        </w:rPr>
        <w:sectPr w:rsidR="00B9129A" w:rsidSect="008860C2">
          <w:headerReference w:type="even" r:id="rId8"/>
          <w:headerReference w:type="default" r:id="rId9"/>
          <w:footerReference w:type="even" r:id="rId10"/>
          <w:footerReference w:type="default" r:id="rId11"/>
          <w:headerReference w:type="first" r:id="rId12"/>
          <w:footerReference w:type="first" r:id="rId13"/>
          <w:type w:val="continuous"/>
          <w:pgSz w:w="12240" w:h="15840"/>
          <w:pgMar w:top="260" w:right="1220" w:bottom="580" w:left="1060" w:header="720" w:footer="383" w:gutter="0"/>
          <w:cols w:space="720"/>
          <w:titlePg/>
          <w:docGrid w:linePitch="299"/>
        </w:sectPr>
      </w:pPr>
    </w:p>
    <w:p w:rsidR="00B9129A" w:rsidRDefault="008860C2">
      <w:pPr>
        <w:pStyle w:val="BodyText"/>
        <w:ind w:firstLine="0"/>
        <w:rPr>
          <w:sz w:val="20"/>
        </w:rPr>
      </w:pPr>
      <w:r>
        <w:rPr>
          <w:noProof/>
          <w:lang w:bidi="ar-SA"/>
        </w:rPr>
        <w:lastRenderedPageBreak/>
        <mc:AlternateContent>
          <mc:Choice Requires="wpg">
            <w:drawing>
              <wp:anchor distT="0" distB="0" distL="114300" distR="114300" simplePos="0" relativeHeight="251657728" behindDoc="1" locked="0" layoutInCell="1" allowOverlap="1">
                <wp:simplePos x="0" y="0"/>
                <wp:positionH relativeFrom="page">
                  <wp:posOffset>857250</wp:posOffset>
                </wp:positionH>
                <wp:positionV relativeFrom="margin">
                  <wp:align>top</wp:align>
                </wp:positionV>
                <wp:extent cx="6066790" cy="7334250"/>
                <wp:effectExtent l="0" t="0" r="10160" b="1905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790" cy="7334250"/>
                          <a:chOff x="1344" y="2432"/>
                          <a:chExt cx="9554" cy="11793"/>
                        </a:xfrm>
                      </wpg:grpSpPr>
                      <wps:wsp>
                        <wps:cNvPr id="5" name="Freeform 12"/>
                        <wps:cNvSpPr>
                          <a:spLocks/>
                        </wps:cNvSpPr>
                        <wps:spPr bwMode="auto">
                          <a:xfrm>
                            <a:off x="1356" y="2441"/>
                            <a:ext cx="9530" cy="11774"/>
                          </a:xfrm>
                          <a:custGeom>
                            <a:avLst/>
                            <a:gdLst>
                              <a:gd name="T0" fmla="+- 0 10886 1356"/>
                              <a:gd name="T1" fmla="*/ T0 w 9530"/>
                              <a:gd name="T2" fmla="+- 0 2441 2441"/>
                              <a:gd name="T3" fmla="*/ 2441 h 11774"/>
                              <a:gd name="T4" fmla="+- 0 10783 1356"/>
                              <a:gd name="T5" fmla="*/ T4 w 9530"/>
                              <a:gd name="T6" fmla="+- 0 2441 2441"/>
                              <a:gd name="T7" fmla="*/ 2441 h 11774"/>
                              <a:gd name="T8" fmla="+- 0 1457 1356"/>
                              <a:gd name="T9" fmla="*/ T8 w 9530"/>
                              <a:gd name="T10" fmla="+- 0 2441 2441"/>
                              <a:gd name="T11" fmla="*/ 2441 h 11774"/>
                              <a:gd name="T12" fmla="+- 0 1356 1356"/>
                              <a:gd name="T13" fmla="*/ T12 w 9530"/>
                              <a:gd name="T14" fmla="+- 0 2441 2441"/>
                              <a:gd name="T15" fmla="*/ 2441 h 11774"/>
                              <a:gd name="T16" fmla="+- 0 1356 1356"/>
                              <a:gd name="T17" fmla="*/ T16 w 9530"/>
                              <a:gd name="T18" fmla="+- 0 14215 2441"/>
                              <a:gd name="T19" fmla="*/ 14215 h 11774"/>
                              <a:gd name="T20" fmla="+- 0 1457 1356"/>
                              <a:gd name="T21" fmla="*/ T20 w 9530"/>
                              <a:gd name="T22" fmla="+- 0 14215 2441"/>
                              <a:gd name="T23" fmla="*/ 14215 h 11774"/>
                              <a:gd name="T24" fmla="+- 0 10783 1356"/>
                              <a:gd name="T25" fmla="*/ T24 w 9530"/>
                              <a:gd name="T26" fmla="+- 0 14215 2441"/>
                              <a:gd name="T27" fmla="*/ 14215 h 11774"/>
                              <a:gd name="T28" fmla="+- 0 10886 1356"/>
                              <a:gd name="T29" fmla="*/ T28 w 9530"/>
                              <a:gd name="T30" fmla="+- 0 14215 2441"/>
                              <a:gd name="T31" fmla="*/ 14215 h 11774"/>
                              <a:gd name="T32" fmla="+- 0 10886 1356"/>
                              <a:gd name="T33" fmla="*/ T32 w 9530"/>
                              <a:gd name="T34" fmla="+- 0 2441 2441"/>
                              <a:gd name="T35" fmla="*/ 2441 h 11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530" h="11774">
                                <a:moveTo>
                                  <a:pt x="9530" y="0"/>
                                </a:moveTo>
                                <a:lnTo>
                                  <a:pt x="9427" y="0"/>
                                </a:lnTo>
                                <a:lnTo>
                                  <a:pt x="101" y="0"/>
                                </a:lnTo>
                                <a:lnTo>
                                  <a:pt x="0" y="0"/>
                                </a:lnTo>
                                <a:lnTo>
                                  <a:pt x="0" y="11774"/>
                                </a:lnTo>
                                <a:lnTo>
                                  <a:pt x="101" y="11774"/>
                                </a:lnTo>
                                <a:lnTo>
                                  <a:pt x="9427" y="11774"/>
                                </a:lnTo>
                                <a:lnTo>
                                  <a:pt x="9530" y="11774"/>
                                </a:lnTo>
                                <a:lnTo>
                                  <a:pt x="9530" y="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11"/>
                        <wps:cNvSpPr>
                          <a:spLocks noChangeArrowheads="1"/>
                        </wps:cNvSpPr>
                        <wps:spPr bwMode="auto">
                          <a:xfrm>
                            <a:off x="1344" y="243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0"/>
                        <wps:cNvCnPr>
                          <a:cxnSpLocks noChangeShapeType="1"/>
                        </wps:cNvCnPr>
                        <wps:spPr bwMode="auto">
                          <a:xfrm>
                            <a:off x="1354" y="2436"/>
                            <a:ext cx="95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Rectangle 9"/>
                        <wps:cNvSpPr>
                          <a:spLocks noChangeArrowheads="1"/>
                        </wps:cNvSpPr>
                        <wps:spPr bwMode="auto">
                          <a:xfrm>
                            <a:off x="10888" y="243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8"/>
                        <wps:cNvCnPr>
                          <a:cxnSpLocks noChangeShapeType="1"/>
                        </wps:cNvCnPr>
                        <wps:spPr bwMode="auto">
                          <a:xfrm>
                            <a:off x="1349" y="2441"/>
                            <a:ext cx="0" cy="1177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Rectangle 7"/>
                        <wps:cNvSpPr>
                          <a:spLocks noChangeArrowheads="1"/>
                        </wps:cNvSpPr>
                        <wps:spPr bwMode="auto">
                          <a:xfrm>
                            <a:off x="1344" y="142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6"/>
                        <wps:cNvCnPr>
                          <a:cxnSpLocks noChangeShapeType="1"/>
                        </wps:cNvCnPr>
                        <wps:spPr bwMode="auto">
                          <a:xfrm>
                            <a:off x="1354" y="14220"/>
                            <a:ext cx="95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0894" y="2441"/>
                            <a:ext cx="0" cy="1177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Rectangle 4"/>
                        <wps:cNvSpPr>
                          <a:spLocks noChangeArrowheads="1"/>
                        </wps:cNvSpPr>
                        <wps:spPr bwMode="auto">
                          <a:xfrm>
                            <a:off x="10888" y="142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5D4AB2" id="Group 3" o:spid="_x0000_s1026" style="position:absolute;margin-left:67.5pt;margin-top:0;width:477.7pt;height:577.5pt;z-index:-251658752;mso-position-horizontal-relative:page;mso-position-vertical:top;mso-position-vertical-relative:margin" coordorigin="1344,2432" coordsize="9554,11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">
                <v:shape id="Freeform 12" o:spid="_x0000_s1027" style="position:absolute;left:1356;top:2441;width:9530;height:11774;visibility:visible;mso-wrap-style:square;v-text-anchor:top" coordsize="9530,1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" path="m9530,l9427,,101,,,,,11774r101,l9427,11774r103,l9530,e" fillcolor="#f1f1f1" stroked="f">
                  <v:path arrowok="t" o:connecttype="custom" o:connectlocs="9530,2441;9427,2441;101,2441;0,2441;0,14215;101,14215;9427,14215;9530,14215;9530,2441" o:connectangles="0,0,0,0,0,0,0,0,0"/>
                </v:shape>
                <v:rect id="Rectangle 11" o:spid="_x0000_s1028" style="position:absolute;left:1344;top:243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line id="Line 10" o:spid="_x0000_s1029" style="position:absolute;visibility:visible;mso-wrap-style:square" from="1354,2436" to="10889,2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rect id="Rectangle 9" o:spid="_x0000_s1030" style="position:absolute;left:10888;top:243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line id="Line 8" o:spid="_x0000_s1031" style="position:absolute;visibility:visible;mso-wrap-style:square" from="1349,2441" to="1349,14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rect id="Rectangle 7" o:spid="_x0000_s1032" style="position:absolute;left:1344;top:142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6" o:spid="_x0000_s1033" style="position:absolute;visibility:visible;mso-wrap-style:square" from="1354,14220" to="10889,14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5" o:spid="_x0000_s1034" style="position:absolute;visibility:visible;mso-wrap-style:square" from="10894,2441" to="10894,14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rect id="Rectangle 4" o:spid="_x0000_s1035" style="position:absolute;left:10888;top:142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w10:wrap anchorx="page" anchory="margin"/>
              </v:group>
            </w:pict>
          </mc:Fallback>
        </mc:AlternateContent>
      </w:r>
    </w:p>
    <w:p w:rsidR="00B9129A" w:rsidRDefault="007B0D6F" w:rsidP="008860C2">
      <w:pPr>
        <w:pStyle w:val="Heading2"/>
        <w:ind w:left="0" w:firstLine="720"/>
      </w:pPr>
      <w:r>
        <w:t>Investment guidelines</w:t>
      </w:r>
    </w:p>
    <w:p w:rsidR="00B9129A" w:rsidRDefault="007B0D6F">
      <w:pPr>
        <w:pStyle w:val="ListParagraph"/>
        <w:numPr>
          <w:ilvl w:val="0"/>
          <w:numId w:val="2"/>
        </w:numPr>
        <w:tabs>
          <w:tab w:val="left" w:pos="1118"/>
        </w:tabs>
        <w:spacing w:before="42" w:line="273" w:lineRule="auto"/>
        <w:ind w:right="719"/>
        <w:jc w:val="both"/>
        <w:rPr>
          <w:sz w:val="26"/>
        </w:rPr>
      </w:pPr>
      <w:r>
        <w:rPr>
          <w:sz w:val="26"/>
        </w:rPr>
        <w:t>A cash account shall be maintained with negligible risk of loss. It shall maintain</w:t>
      </w:r>
      <w:r>
        <w:rPr>
          <w:spacing w:val="-42"/>
          <w:sz w:val="26"/>
        </w:rPr>
        <w:t xml:space="preserve"> </w:t>
      </w:r>
      <w:r>
        <w:rPr>
          <w:sz w:val="26"/>
        </w:rPr>
        <w:t>a balance adequate to cover obligations payable within no less than 30 days and</w:t>
      </w:r>
      <w:r>
        <w:rPr>
          <w:spacing w:val="-38"/>
          <w:sz w:val="26"/>
        </w:rPr>
        <w:t xml:space="preserve"> </w:t>
      </w:r>
      <w:r>
        <w:rPr>
          <w:sz w:val="26"/>
        </w:rPr>
        <w:t>no more than 90</w:t>
      </w:r>
      <w:r>
        <w:rPr>
          <w:spacing w:val="-1"/>
          <w:sz w:val="26"/>
        </w:rPr>
        <w:t xml:space="preserve"> </w:t>
      </w:r>
      <w:r>
        <w:rPr>
          <w:sz w:val="26"/>
        </w:rPr>
        <w:t>days.</w:t>
      </w:r>
    </w:p>
    <w:p w:rsidR="00B9129A" w:rsidRDefault="007B0D6F">
      <w:pPr>
        <w:pStyle w:val="ListParagraph"/>
        <w:numPr>
          <w:ilvl w:val="0"/>
          <w:numId w:val="2"/>
        </w:numPr>
        <w:tabs>
          <w:tab w:val="left" w:pos="1117"/>
          <w:tab w:val="left" w:pos="1118"/>
        </w:tabs>
        <w:spacing w:before="5" w:line="273" w:lineRule="auto"/>
        <w:ind w:right="489"/>
        <w:rPr>
          <w:sz w:val="26"/>
        </w:rPr>
      </w:pPr>
      <w:r>
        <w:rPr>
          <w:sz w:val="26"/>
        </w:rPr>
        <w:t>Unrestricted monetary funds in excess of amounts necessary for near term</w:t>
      </w:r>
      <w:r>
        <w:rPr>
          <w:spacing w:val="-45"/>
          <w:sz w:val="26"/>
        </w:rPr>
        <w:t xml:space="preserve"> </w:t>
      </w:r>
      <w:r>
        <w:rPr>
          <w:sz w:val="26"/>
        </w:rPr>
        <w:t>liquidity are considered temporary investments and shall be</w:t>
      </w:r>
      <w:r>
        <w:rPr>
          <w:spacing w:val="-4"/>
          <w:sz w:val="26"/>
        </w:rPr>
        <w:t xml:space="preserve"> </w:t>
      </w:r>
      <w:r>
        <w:rPr>
          <w:sz w:val="26"/>
        </w:rPr>
        <w:t>invested.</w:t>
      </w:r>
    </w:p>
    <w:p w:rsidR="00B9129A" w:rsidRDefault="007B0D6F">
      <w:pPr>
        <w:pStyle w:val="ListParagraph"/>
        <w:numPr>
          <w:ilvl w:val="0"/>
          <w:numId w:val="2"/>
        </w:numPr>
        <w:tabs>
          <w:tab w:val="left" w:pos="1117"/>
          <w:tab w:val="left" w:pos="1118"/>
        </w:tabs>
        <w:spacing w:before="2" w:line="276" w:lineRule="auto"/>
        <w:ind w:right="313"/>
        <w:rPr>
          <w:sz w:val="26"/>
        </w:rPr>
      </w:pPr>
      <w:r>
        <w:rPr>
          <w:sz w:val="26"/>
        </w:rPr>
        <w:t>If not otherwise directed by the Board, or its authorized delegate, temporary investments shall be invested by management in FDIC insured certificates of</w:t>
      </w:r>
      <w:r>
        <w:rPr>
          <w:spacing w:val="-38"/>
          <w:sz w:val="26"/>
        </w:rPr>
        <w:t xml:space="preserve"> </w:t>
      </w:r>
      <w:r>
        <w:rPr>
          <w:sz w:val="26"/>
        </w:rPr>
        <w:t>deposit of varying maturities but no greater than one</w:t>
      </w:r>
      <w:r>
        <w:rPr>
          <w:spacing w:val="-3"/>
          <w:sz w:val="26"/>
        </w:rPr>
        <w:t xml:space="preserve"> </w:t>
      </w:r>
      <w:r>
        <w:rPr>
          <w:sz w:val="26"/>
        </w:rPr>
        <w:t>year.</w:t>
      </w:r>
    </w:p>
    <w:p w:rsidR="00B9129A" w:rsidRDefault="007B0D6F">
      <w:pPr>
        <w:pStyle w:val="ListParagraph"/>
        <w:numPr>
          <w:ilvl w:val="0"/>
          <w:numId w:val="2"/>
        </w:numPr>
        <w:tabs>
          <w:tab w:val="left" w:pos="1117"/>
          <w:tab w:val="left" w:pos="1118"/>
        </w:tabs>
        <w:spacing w:before="0" w:line="273" w:lineRule="auto"/>
        <w:ind w:right="302"/>
        <w:rPr>
          <w:sz w:val="26"/>
        </w:rPr>
      </w:pPr>
      <w:r>
        <w:rPr>
          <w:sz w:val="26"/>
        </w:rPr>
        <w:t>Temporary investments determined by the Board, or its delegate, to be available for periods greater than one year may be invested in investment vehicles for durations as determined by The Board. These investments may</w:t>
      </w:r>
      <w:r>
        <w:rPr>
          <w:spacing w:val="-6"/>
          <w:sz w:val="26"/>
        </w:rPr>
        <w:t xml:space="preserve"> </w:t>
      </w:r>
      <w:r>
        <w:rPr>
          <w:sz w:val="26"/>
        </w:rPr>
        <w:t>include:</w:t>
      </w:r>
    </w:p>
    <w:p w:rsidR="00B9129A" w:rsidRDefault="007B0D6F">
      <w:pPr>
        <w:pStyle w:val="ListParagraph"/>
        <w:numPr>
          <w:ilvl w:val="1"/>
          <w:numId w:val="2"/>
        </w:numPr>
        <w:tabs>
          <w:tab w:val="left" w:pos="1838"/>
        </w:tabs>
        <w:spacing w:before="4"/>
        <w:rPr>
          <w:sz w:val="26"/>
        </w:rPr>
      </w:pPr>
      <w:r>
        <w:rPr>
          <w:sz w:val="26"/>
        </w:rPr>
        <w:t>US Treasury securities,</w:t>
      </w:r>
    </w:p>
    <w:p w:rsidR="00B9129A" w:rsidRDefault="007B0D6F">
      <w:pPr>
        <w:pStyle w:val="ListParagraph"/>
        <w:numPr>
          <w:ilvl w:val="1"/>
          <w:numId w:val="2"/>
        </w:numPr>
        <w:tabs>
          <w:tab w:val="left" w:pos="1838"/>
        </w:tabs>
        <w:spacing w:before="33"/>
        <w:rPr>
          <w:sz w:val="26"/>
        </w:rPr>
      </w:pPr>
      <w:r>
        <w:rPr>
          <w:sz w:val="26"/>
        </w:rPr>
        <w:t>Government agency</w:t>
      </w:r>
      <w:r>
        <w:rPr>
          <w:spacing w:val="-2"/>
          <w:sz w:val="26"/>
        </w:rPr>
        <w:t xml:space="preserve"> </w:t>
      </w:r>
      <w:r>
        <w:rPr>
          <w:sz w:val="26"/>
        </w:rPr>
        <w:t>securities,</w:t>
      </w:r>
    </w:p>
    <w:p w:rsidR="00B9129A" w:rsidRDefault="007B0D6F">
      <w:pPr>
        <w:pStyle w:val="ListParagraph"/>
        <w:numPr>
          <w:ilvl w:val="1"/>
          <w:numId w:val="2"/>
        </w:numPr>
        <w:tabs>
          <w:tab w:val="left" w:pos="1838"/>
        </w:tabs>
        <w:rPr>
          <w:sz w:val="26"/>
        </w:rPr>
      </w:pPr>
      <w:r>
        <w:rPr>
          <w:sz w:val="26"/>
        </w:rPr>
        <w:t>Investment grade fixed income</w:t>
      </w:r>
      <w:r>
        <w:rPr>
          <w:spacing w:val="-1"/>
          <w:sz w:val="26"/>
        </w:rPr>
        <w:t xml:space="preserve"> </w:t>
      </w:r>
      <w:r>
        <w:rPr>
          <w:sz w:val="26"/>
        </w:rPr>
        <w:t>securities,</w:t>
      </w:r>
    </w:p>
    <w:p w:rsidR="00B9129A" w:rsidRDefault="007B0D6F">
      <w:pPr>
        <w:pStyle w:val="ListParagraph"/>
        <w:numPr>
          <w:ilvl w:val="1"/>
          <w:numId w:val="2"/>
        </w:numPr>
        <w:tabs>
          <w:tab w:val="left" w:pos="1838"/>
        </w:tabs>
        <w:rPr>
          <w:sz w:val="26"/>
        </w:rPr>
      </w:pPr>
      <w:r>
        <w:rPr>
          <w:sz w:val="26"/>
        </w:rPr>
        <w:t>US equities of publicly traded companies,</w:t>
      </w:r>
      <w:r>
        <w:rPr>
          <w:spacing w:val="-5"/>
          <w:sz w:val="26"/>
        </w:rPr>
        <w:t xml:space="preserve"> </w:t>
      </w:r>
      <w:r>
        <w:rPr>
          <w:sz w:val="26"/>
        </w:rPr>
        <w:t>and</w:t>
      </w:r>
    </w:p>
    <w:p w:rsidR="00B9129A" w:rsidRDefault="007B0D6F">
      <w:pPr>
        <w:pStyle w:val="ListParagraph"/>
        <w:numPr>
          <w:ilvl w:val="1"/>
          <w:numId w:val="2"/>
        </w:numPr>
        <w:tabs>
          <w:tab w:val="left" w:pos="1838"/>
        </w:tabs>
        <w:rPr>
          <w:sz w:val="26"/>
        </w:rPr>
      </w:pPr>
      <w:r>
        <w:rPr>
          <w:sz w:val="26"/>
        </w:rPr>
        <w:t>Index</w:t>
      </w:r>
      <w:r>
        <w:rPr>
          <w:spacing w:val="-1"/>
          <w:sz w:val="26"/>
        </w:rPr>
        <w:t xml:space="preserve"> </w:t>
      </w:r>
      <w:r>
        <w:rPr>
          <w:sz w:val="26"/>
        </w:rPr>
        <w:t>funds.</w:t>
      </w:r>
    </w:p>
    <w:p w:rsidR="00B9129A" w:rsidRDefault="007B0D6F">
      <w:pPr>
        <w:pStyle w:val="ListParagraph"/>
        <w:numPr>
          <w:ilvl w:val="0"/>
          <w:numId w:val="2"/>
        </w:numPr>
        <w:tabs>
          <w:tab w:val="left" w:pos="1117"/>
          <w:tab w:val="left" w:pos="1118"/>
        </w:tabs>
        <w:spacing w:before="35"/>
        <w:rPr>
          <w:sz w:val="26"/>
        </w:rPr>
      </w:pPr>
      <w:r>
        <w:rPr>
          <w:sz w:val="26"/>
        </w:rPr>
        <w:t>Investments specifically prohibited</w:t>
      </w:r>
      <w:r>
        <w:rPr>
          <w:spacing w:val="-4"/>
          <w:sz w:val="26"/>
        </w:rPr>
        <w:t xml:space="preserve"> </w:t>
      </w:r>
      <w:r>
        <w:rPr>
          <w:sz w:val="26"/>
        </w:rPr>
        <w:t>include:</w:t>
      </w:r>
    </w:p>
    <w:p w:rsidR="00B9129A" w:rsidRDefault="007B0D6F">
      <w:pPr>
        <w:pStyle w:val="ListParagraph"/>
        <w:numPr>
          <w:ilvl w:val="1"/>
          <w:numId w:val="2"/>
        </w:numPr>
        <w:tabs>
          <w:tab w:val="left" w:pos="1838"/>
        </w:tabs>
        <w:spacing w:before="44"/>
        <w:rPr>
          <w:sz w:val="26"/>
        </w:rPr>
      </w:pPr>
      <w:r>
        <w:rPr>
          <w:sz w:val="26"/>
        </w:rPr>
        <w:t>Bank deposits in excess of amounts insured by</w:t>
      </w:r>
      <w:r>
        <w:rPr>
          <w:spacing w:val="-9"/>
          <w:sz w:val="26"/>
        </w:rPr>
        <w:t xml:space="preserve"> </w:t>
      </w:r>
      <w:r>
        <w:rPr>
          <w:sz w:val="26"/>
        </w:rPr>
        <w:t>FDIC,</w:t>
      </w:r>
    </w:p>
    <w:p w:rsidR="00B9129A" w:rsidRDefault="007B0D6F">
      <w:pPr>
        <w:pStyle w:val="ListParagraph"/>
        <w:numPr>
          <w:ilvl w:val="1"/>
          <w:numId w:val="2"/>
        </w:numPr>
        <w:tabs>
          <w:tab w:val="left" w:pos="1838"/>
        </w:tabs>
        <w:rPr>
          <w:sz w:val="26"/>
        </w:rPr>
      </w:pPr>
      <w:r>
        <w:rPr>
          <w:sz w:val="26"/>
        </w:rPr>
        <w:t>Blind investment pools [other than Oregon Community</w:t>
      </w:r>
      <w:r>
        <w:rPr>
          <w:spacing w:val="-12"/>
          <w:sz w:val="26"/>
        </w:rPr>
        <w:t xml:space="preserve"> </w:t>
      </w:r>
      <w:r>
        <w:rPr>
          <w:sz w:val="26"/>
        </w:rPr>
        <w:t>Foundation],</w:t>
      </w:r>
    </w:p>
    <w:p w:rsidR="00B9129A" w:rsidRDefault="007B0D6F">
      <w:pPr>
        <w:pStyle w:val="ListParagraph"/>
        <w:numPr>
          <w:ilvl w:val="1"/>
          <w:numId w:val="2"/>
        </w:numPr>
        <w:tabs>
          <w:tab w:val="left" w:pos="1838"/>
        </w:tabs>
        <w:spacing w:before="36"/>
        <w:rPr>
          <w:sz w:val="26"/>
        </w:rPr>
      </w:pPr>
      <w:r>
        <w:rPr>
          <w:sz w:val="26"/>
        </w:rPr>
        <w:t>Precious</w:t>
      </w:r>
      <w:r>
        <w:rPr>
          <w:spacing w:val="-1"/>
          <w:sz w:val="26"/>
        </w:rPr>
        <w:t xml:space="preserve"> </w:t>
      </w:r>
      <w:r>
        <w:rPr>
          <w:sz w:val="26"/>
        </w:rPr>
        <w:t>metals,</w:t>
      </w:r>
    </w:p>
    <w:p w:rsidR="00B9129A" w:rsidRDefault="007B0D6F">
      <w:pPr>
        <w:pStyle w:val="ListParagraph"/>
        <w:numPr>
          <w:ilvl w:val="1"/>
          <w:numId w:val="2"/>
        </w:numPr>
        <w:tabs>
          <w:tab w:val="left" w:pos="1838"/>
        </w:tabs>
        <w:rPr>
          <w:sz w:val="26"/>
        </w:rPr>
      </w:pPr>
      <w:r>
        <w:rPr>
          <w:sz w:val="26"/>
        </w:rPr>
        <w:t>Commodities,</w:t>
      </w:r>
    </w:p>
    <w:p w:rsidR="00B9129A" w:rsidRDefault="007B0D6F">
      <w:pPr>
        <w:pStyle w:val="ListParagraph"/>
        <w:numPr>
          <w:ilvl w:val="1"/>
          <w:numId w:val="2"/>
        </w:numPr>
        <w:tabs>
          <w:tab w:val="left" w:pos="1838"/>
        </w:tabs>
        <w:rPr>
          <w:sz w:val="26"/>
        </w:rPr>
      </w:pPr>
      <w:r>
        <w:rPr>
          <w:sz w:val="26"/>
        </w:rPr>
        <w:t>Stock options or warrants,</w:t>
      </w:r>
      <w:r>
        <w:rPr>
          <w:spacing w:val="-2"/>
          <w:sz w:val="26"/>
        </w:rPr>
        <w:t xml:space="preserve"> </w:t>
      </w:r>
      <w:r>
        <w:rPr>
          <w:sz w:val="26"/>
        </w:rPr>
        <w:t>or</w:t>
      </w:r>
    </w:p>
    <w:p w:rsidR="00B9129A" w:rsidRDefault="007B0D6F">
      <w:pPr>
        <w:pStyle w:val="ListParagraph"/>
        <w:numPr>
          <w:ilvl w:val="1"/>
          <w:numId w:val="2"/>
        </w:numPr>
        <w:tabs>
          <w:tab w:val="left" w:pos="1838"/>
        </w:tabs>
        <w:spacing w:before="33"/>
        <w:rPr>
          <w:sz w:val="26"/>
        </w:rPr>
      </w:pPr>
      <w:r>
        <w:rPr>
          <w:sz w:val="26"/>
        </w:rPr>
        <w:t>Life</w:t>
      </w:r>
      <w:r>
        <w:rPr>
          <w:spacing w:val="-2"/>
          <w:sz w:val="26"/>
        </w:rPr>
        <w:t xml:space="preserve"> </w:t>
      </w:r>
      <w:r>
        <w:rPr>
          <w:sz w:val="26"/>
        </w:rPr>
        <w:t>insurance</w:t>
      </w:r>
    </w:p>
    <w:p w:rsidR="00B9129A" w:rsidRDefault="00B9129A">
      <w:pPr>
        <w:pStyle w:val="BodyText"/>
        <w:ind w:firstLine="0"/>
        <w:rPr>
          <w:sz w:val="24"/>
        </w:rPr>
      </w:pPr>
    </w:p>
    <w:p w:rsidR="00B9129A" w:rsidRDefault="007B0D6F">
      <w:pPr>
        <w:pStyle w:val="ListParagraph"/>
        <w:numPr>
          <w:ilvl w:val="0"/>
          <w:numId w:val="2"/>
        </w:numPr>
        <w:tabs>
          <w:tab w:val="left" w:pos="1117"/>
          <w:tab w:val="left" w:pos="1118"/>
        </w:tabs>
        <w:spacing w:before="99"/>
        <w:rPr>
          <w:sz w:val="26"/>
        </w:rPr>
      </w:pPr>
      <w:r>
        <w:rPr>
          <w:sz w:val="26"/>
        </w:rPr>
        <w:t>Temporary investments shall be readily</w:t>
      </w:r>
      <w:r>
        <w:rPr>
          <w:spacing w:val="-5"/>
          <w:sz w:val="26"/>
        </w:rPr>
        <w:t xml:space="preserve"> </w:t>
      </w:r>
      <w:r>
        <w:rPr>
          <w:sz w:val="26"/>
        </w:rPr>
        <w:t>marketable.</w:t>
      </w:r>
    </w:p>
    <w:p w:rsidR="00B9129A" w:rsidRDefault="007B0D6F">
      <w:pPr>
        <w:pStyle w:val="ListParagraph"/>
        <w:numPr>
          <w:ilvl w:val="0"/>
          <w:numId w:val="2"/>
        </w:numPr>
        <w:tabs>
          <w:tab w:val="left" w:pos="1117"/>
          <w:tab w:val="left" w:pos="1118"/>
        </w:tabs>
        <w:spacing w:before="45" w:line="273" w:lineRule="auto"/>
        <w:ind w:right="493"/>
        <w:rPr>
          <w:sz w:val="26"/>
        </w:rPr>
      </w:pPr>
      <w:r>
        <w:rPr>
          <w:sz w:val="26"/>
        </w:rPr>
        <w:t>Contributions that are permanently restricted and invested as specifically</w:t>
      </w:r>
      <w:r>
        <w:rPr>
          <w:spacing w:val="-45"/>
          <w:sz w:val="26"/>
        </w:rPr>
        <w:t xml:space="preserve"> </w:t>
      </w:r>
      <w:r>
        <w:rPr>
          <w:sz w:val="26"/>
        </w:rPr>
        <w:t>instructed by donors may be</w:t>
      </w:r>
      <w:r>
        <w:rPr>
          <w:spacing w:val="-2"/>
          <w:sz w:val="26"/>
        </w:rPr>
        <w:t xml:space="preserve"> </w:t>
      </w:r>
      <w:r>
        <w:rPr>
          <w:sz w:val="26"/>
        </w:rPr>
        <w:t>accepted.</w:t>
      </w:r>
    </w:p>
    <w:p w:rsidR="00B9129A" w:rsidRDefault="007B0D6F">
      <w:pPr>
        <w:pStyle w:val="ListParagraph"/>
        <w:numPr>
          <w:ilvl w:val="0"/>
          <w:numId w:val="2"/>
        </w:numPr>
        <w:tabs>
          <w:tab w:val="left" w:pos="1117"/>
          <w:tab w:val="left" w:pos="1118"/>
        </w:tabs>
        <w:spacing w:before="3" w:line="273" w:lineRule="auto"/>
        <w:ind w:right="1444"/>
        <w:rPr>
          <w:sz w:val="26"/>
        </w:rPr>
      </w:pPr>
      <w:r>
        <w:rPr>
          <w:sz w:val="26"/>
        </w:rPr>
        <w:t>Contributions that are permanently restricted but not limited to particular investments by the donor shall not be invested in prohibited</w:t>
      </w:r>
      <w:r>
        <w:rPr>
          <w:spacing w:val="-29"/>
          <w:sz w:val="26"/>
        </w:rPr>
        <w:t xml:space="preserve"> </w:t>
      </w:r>
      <w:r>
        <w:rPr>
          <w:sz w:val="26"/>
        </w:rPr>
        <w:t>investments.</w:t>
      </w:r>
    </w:p>
    <w:p w:rsidR="00B9129A" w:rsidRDefault="007B0D6F">
      <w:pPr>
        <w:pStyle w:val="ListParagraph"/>
        <w:numPr>
          <w:ilvl w:val="0"/>
          <w:numId w:val="2"/>
        </w:numPr>
        <w:tabs>
          <w:tab w:val="left" w:pos="1117"/>
          <w:tab w:val="left" w:pos="1118"/>
        </w:tabs>
        <w:spacing w:before="2" w:line="273" w:lineRule="auto"/>
        <w:ind w:right="715"/>
        <w:rPr>
          <w:sz w:val="26"/>
        </w:rPr>
      </w:pPr>
      <w:r>
        <w:rPr>
          <w:sz w:val="26"/>
        </w:rPr>
        <w:t>Earnings from permanently restricted investments shall be invested in</w:t>
      </w:r>
      <w:r>
        <w:rPr>
          <w:spacing w:val="-39"/>
          <w:sz w:val="26"/>
        </w:rPr>
        <w:t xml:space="preserve"> </w:t>
      </w:r>
      <w:r>
        <w:rPr>
          <w:sz w:val="26"/>
        </w:rPr>
        <w:t>temporary investments as they become</w:t>
      </w:r>
      <w:r>
        <w:rPr>
          <w:spacing w:val="-6"/>
          <w:sz w:val="26"/>
        </w:rPr>
        <w:t xml:space="preserve"> </w:t>
      </w:r>
      <w:r>
        <w:rPr>
          <w:sz w:val="26"/>
        </w:rPr>
        <w:t>available.</w:t>
      </w:r>
    </w:p>
    <w:p w:rsidR="00B9129A" w:rsidRDefault="00B9129A">
      <w:pPr>
        <w:spacing w:line="273" w:lineRule="auto"/>
        <w:rPr>
          <w:sz w:val="26"/>
        </w:rPr>
        <w:sectPr w:rsidR="00B9129A">
          <w:pgSz w:w="12240" w:h="15840"/>
          <w:pgMar w:top="1500" w:right="1220" w:bottom="580" w:left="1060" w:header="0" w:footer="383" w:gutter="0"/>
          <w:cols w:space="720"/>
        </w:sectPr>
      </w:pPr>
    </w:p>
    <w:p w:rsidR="00B9129A" w:rsidRDefault="008860C2">
      <w:pPr>
        <w:pStyle w:val="BodyText"/>
        <w:ind w:firstLine="0"/>
        <w:rPr>
          <w:rFonts w:ascii="Times New Roman"/>
          <w:sz w:val="20"/>
        </w:rPr>
      </w:pPr>
      <w:r>
        <w:rPr>
          <w:rFonts w:ascii="Times New Roman"/>
          <w:noProof/>
          <w:sz w:val="20"/>
          <w:lang w:bidi="ar-SA"/>
        </w:rPr>
        <w:lastRenderedPageBreak/>
        <mc:AlternateContent>
          <mc:Choice Requires="wps">
            <w:drawing>
              <wp:inline distT="0" distB="0" distL="0" distR="0" wp14:anchorId="5720C100" wp14:editId="1E9905FA">
                <wp:extent cx="6061075" cy="2952750"/>
                <wp:effectExtent l="0" t="0" r="15875"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075" cy="2952750"/>
                        </a:xfrm>
                        <a:prstGeom prst="rect">
                          <a:avLst/>
                        </a:prstGeom>
                        <a:solidFill>
                          <a:srgbClr val="F1F1F1"/>
                        </a:solidFill>
                        <a:ln w="6096">
                          <a:solidFill>
                            <a:srgbClr val="000000"/>
                          </a:solidFill>
                          <a:prstDash val="solid"/>
                          <a:miter lim="800000"/>
                          <a:headEnd/>
                          <a:tailEnd/>
                        </a:ln>
                      </wps:spPr>
                      <wps:txbx>
                        <w:txbxContent>
                          <w:p w:rsidR="008860C2" w:rsidRDefault="008860C2" w:rsidP="008860C2">
                            <w:pPr>
                              <w:spacing w:before="1"/>
                              <w:ind w:left="103"/>
                              <w:rPr>
                                <w:b/>
                                <w:sz w:val="26"/>
                              </w:rPr>
                            </w:pPr>
                            <w:r>
                              <w:rPr>
                                <w:b/>
                                <w:sz w:val="26"/>
                              </w:rPr>
                              <w:t>Diversification</w:t>
                            </w:r>
                          </w:p>
                          <w:p w:rsidR="008860C2" w:rsidRDefault="008860C2" w:rsidP="008860C2">
                            <w:pPr>
                              <w:pStyle w:val="BodyText"/>
                              <w:numPr>
                                <w:ilvl w:val="0"/>
                                <w:numId w:val="1"/>
                              </w:numPr>
                              <w:tabs>
                                <w:tab w:val="left" w:pos="823"/>
                                <w:tab w:val="left" w:pos="824"/>
                              </w:tabs>
                              <w:spacing w:before="42" w:line="273" w:lineRule="auto"/>
                              <w:ind w:right="136"/>
                            </w:pPr>
                            <w:r>
                              <w:t>Investments in corporate debt securities of a single company shall not exceed 10%</w:t>
                            </w:r>
                            <w:r>
                              <w:rPr>
                                <w:spacing w:val="-35"/>
                              </w:rPr>
                              <w:t xml:space="preserve"> </w:t>
                            </w:r>
                            <w:r>
                              <w:t>of temporary</w:t>
                            </w:r>
                            <w:r>
                              <w:rPr>
                                <w:spacing w:val="-2"/>
                              </w:rPr>
                              <w:t xml:space="preserve"> </w:t>
                            </w:r>
                            <w:r>
                              <w:t>investments,</w:t>
                            </w:r>
                          </w:p>
                          <w:p w:rsidR="008860C2" w:rsidRDefault="008860C2" w:rsidP="008860C2">
                            <w:pPr>
                              <w:pStyle w:val="BodyText"/>
                              <w:numPr>
                                <w:ilvl w:val="0"/>
                                <w:numId w:val="1"/>
                              </w:numPr>
                              <w:tabs>
                                <w:tab w:val="left" w:pos="823"/>
                                <w:tab w:val="left" w:pos="824"/>
                              </w:tabs>
                              <w:spacing w:before="3" w:line="271" w:lineRule="auto"/>
                              <w:ind w:right="976"/>
                            </w:pPr>
                            <w:r>
                              <w:t>Investments in equity of any one company shall not exceed 5% of</w:t>
                            </w:r>
                            <w:r>
                              <w:rPr>
                                <w:spacing w:val="-38"/>
                              </w:rPr>
                              <w:t xml:space="preserve"> </w:t>
                            </w:r>
                            <w:r>
                              <w:t>temporary investments.</w:t>
                            </w:r>
                          </w:p>
                          <w:p w:rsidR="008860C2" w:rsidRDefault="008860C2" w:rsidP="008860C2">
                            <w:pPr>
                              <w:pStyle w:val="BodyText"/>
                              <w:spacing w:before="1"/>
                              <w:ind w:firstLine="0"/>
                              <w:rPr>
                                <w:rFonts w:ascii="Times New Roman"/>
                                <w:sz w:val="30"/>
                              </w:rPr>
                            </w:pPr>
                          </w:p>
                          <w:p w:rsidR="008860C2" w:rsidRDefault="008860C2" w:rsidP="008860C2">
                            <w:pPr>
                              <w:ind w:left="103"/>
                              <w:rPr>
                                <w:b/>
                                <w:sz w:val="26"/>
                              </w:rPr>
                            </w:pPr>
                            <w:r>
                              <w:rPr>
                                <w:b/>
                                <w:sz w:val="26"/>
                              </w:rPr>
                              <w:t>Performance</w:t>
                            </w:r>
                          </w:p>
                          <w:p w:rsidR="008860C2" w:rsidRDefault="008860C2" w:rsidP="008860C2">
                            <w:pPr>
                              <w:pStyle w:val="BodyText"/>
                              <w:numPr>
                                <w:ilvl w:val="0"/>
                                <w:numId w:val="1"/>
                              </w:numPr>
                              <w:tabs>
                                <w:tab w:val="left" w:pos="823"/>
                                <w:tab w:val="left" w:pos="824"/>
                              </w:tabs>
                              <w:spacing w:before="43"/>
                            </w:pPr>
                            <w:r>
                              <w:t>Investment performance shall be measured net of investment</w:t>
                            </w:r>
                            <w:r>
                              <w:rPr>
                                <w:spacing w:val="-9"/>
                              </w:rPr>
                              <w:t xml:space="preserve"> </w:t>
                            </w:r>
                            <w:r>
                              <w:t>fees.</w:t>
                            </w:r>
                          </w:p>
                          <w:p w:rsidR="008860C2" w:rsidRDefault="008860C2" w:rsidP="008860C2">
                            <w:pPr>
                              <w:pStyle w:val="BodyText"/>
                              <w:numPr>
                                <w:ilvl w:val="0"/>
                                <w:numId w:val="1"/>
                              </w:numPr>
                              <w:tabs>
                                <w:tab w:val="left" w:pos="823"/>
                                <w:tab w:val="left" w:pos="824"/>
                              </w:tabs>
                              <w:spacing w:before="44" w:line="271" w:lineRule="auto"/>
                              <w:ind w:right="664"/>
                            </w:pPr>
                            <w:r>
                              <w:t>Investment performance shall be reviewed by the Board at least annually</w:t>
                            </w:r>
                            <w:r>
                              <w:rPr>
                                <w:spacing w:val="-42"/>
                              </w:rPr>
                              <w:t xml:space="preserve"> </w:t>
                            </w:r>
                            <w:r>
                              <w:t>against market indices of similar</w:t>
                            </w:r>
                            <w:r>
                              <w:rPr>
                                <w:spacing w:val="-3"/>
                              </w:rPr>
                              <w:t xml:space="preserve"> </w:t>
                            </w:r>
                            <w:r>
                              <w:t>investments.</w:t>
                            </w:r>
                          </w:p>
                        </w:txbxContent>
                      </wps:txbx>
                      <wps:bodyPr rot="0" vert="horz" wrap="square" lIns="0" tIns="0" rIns="0" bIns="0" anchor="t" anchorCtr="0" upright="1">
                        <a:noAutofit/>
                      </wps:bodyPr>
                    </wps:wsp>
                  </a:graphicData>
                </a:graphic>
              </wp:inline>
            </w:drawing>
          </mc:Choice>
          <mc:Fallback>
            <w:pict>
              <v:shape w14:anchorId="5720C100" id="Text Box 2" o:spid="_x0000_s1027" type="#_x0000_t202" style="width:477.2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" fillcolor="#f1f1f1" strokeweight=".48pt">
                <v:textbox inset="0,0,0,0">
                  <w:txbxContent>
                    <w:p w:rsidR="008860C2" w:rsidRDefault="008860C2" w:rsidP="008860C2">
                      <w:pPr>
                        <w:spacing w:before="1"/>
                        <w:ind w:left="103"/>
                        <w:rPr>
                          <w:b/>
                          <w:sz w:val="26"/>
                        </w:rPr>
                      </w:pPr>
                      <w:r>
                        <w:rPr>
                          <w:b/>
                          <w:sz w:val="26"/>
                        </w:rPr>
                        <w:t>Diversification</w:t>
                      </w:r>
                    </w:p>
                    <w:p w:rsidR="008860C2" w:rsidRDefault="008860C2" w:rsidP="008860C2">
                      <w:pPr>
                        <w:pStyle w:val="BodyText"/>
                        <w:numPr>
                          <w:ilvl w:val="0"/>
                          <w:numId w:val="1"/>
                        </w:numPr>
                        <w:tabs>
                          <w:tab w:val="left" w:pos="823"/>
                          <w:tab w:val="left" w:pos="824"/>
                        </w:tabs>
                        <w:spacing w:before="42" w:line="273" w:lineRule="auto"/>
                        <w:ind w:right="136"/>
                      </w:pPr>
                      <w:r>
                        <w:t>Investments in corporate debt securities of a single company shall not exceed 10%</w:t>
                      </w:r>
                      <w:r>
                        <w:rPr>
                          <w:spacing w:val="-35"/>
                        </w:rPr>
                        <w:t xml:space="preserve"> </w:t>
                      </w:r>
                      <w:r>
                        <w:t>of temporary</w:t>
                      </w:r>
                      <w:r>
                        <w:rPr>
                          <w:spacing w:val="-2"/>
                        </w:rPr>
                        <w:t xml:space="preserve"> </w:t>
                      </w:r>
                      <w:r>
                        <w:t>investments,</w:t>
                      </w:r>
                    </w:p>
                    <w:p w:rsidR="008860C2" w:rsidRDefault="008860C2" w:rsidP="008860C2">
                      <w:pPr>
                        <w:pStyle w:val="BodyText"/>
                        <w:numPr>
                          <w:ilvl w:val="0"/>
                          <w:numId w:val="1"/>
                        </w:numPr>
                        <w:tabs>
                          <w:tab w:val="left" w:pos="823"/>
                          <w:tab w:val="left" w:pos="824"/>
                        </w:tabs>
                        <w:spacing w:before="3" w:line="271" w:lineRule="auto"/>
                        <w:ind w:right="976"/>
                      </w:pPr>
                      <w:r>
                        <w:t>Investments in equity of any one company shall not exceed 5% of</w:t>
                      </w:r>
                      <w:r>
                        <w:rPr>
                          <w:spacing w:val="-38"/>
                        </w:rPr>
                        <w:t xml:space="preserve"> </w:t>
                      </w:r>
                      <w:r>
                        <w:t>temporary investments.</w:t>
                      </w:r>
                    </w:p>
                    <w:p w:rsidR="008860C2" w:rsidRDefault="008860C2" w:rsidP="008860C2">
                      <w:pPr>
                        <w:pStyle w:val="BodyText"/>
                        <w:spacing w:before="1"/>
                        <w:ind w:firstLine="0"/>
                        <w:rPr>
                          <w:rFonts w:ascii="Times New Roman"/>
                          <w:sz w:val="30"/>
                        </w:rPr>
                      </w:pPr>
                    </w:p>
                    <w:p w:rsidR="008860C2" w:rsidRDefault="008860C2" w:rsidP="008860C2">
                      <w:pPr>
                        <w:ind w:left="103"/>
                        <w:rPr>
                          <w:b/>
                          <w:sz w:val="26"/>
                        </w:rPr>
                      </w:pPr>
                      <w:r>
                        <w:rPr>
                          <w:b/>
                          <w:sz w:val="26"/>
                        </w:rPr>
                        <w:t>Performance</w:t>
                      </w:r>
                    </w:p>
                    <w:p w:rsidR="008860C2" w:rsidRDefault="008860C2" w:rsidP="008860C2">
                      <w:pPr>
                        <w:pStyle w:val="BodyText"/>
                        <w:numPr>
                          <w:ilvl w:val="0"/>
                          <w:numId w:val="1"/>
                        </w:numPr>
                        <w:tabs>
                          <w:tab w:val="left" w:pos="823"/>
                          <w:tab w:val="left" w:pos="824"/>
                        </w:tabs>
                        <w:spacing w:before="43"/>
                      </w:pPr>
                      <w:r>
                        <w:t>Investment performance shall be measured net of investment</w:t>
                      </w:r>
                      <w:r>
                        <w:rPr>
                          <w:spacing w:val="-9"/>
                        </w:rPr>
                        <w:t xml:space="preserve"> </w:t>
                      </w:r>
                      <w:r>
                        <w:t>fees.</w:t>
                      </w:r>
                    </w:p>
                    <w:p w:rsidR="008860C2" w:rsidRDefault="008860C2" w:rsidP="008860C2">
                      <w:pPr>
                        <w:pStyle w:val="BodyText"/>
                        <w:numPr>
                          <w:ilvl w:val="0"/>
                          <w:numId w:val="1"/>
                        </w:numPr>
                        <w:tabs>
                          <w:tab w:val="left" w:pos="823"/>
                          <w:tab w:val="left" w:pos="824"/>
                        </w:tabs>
                        <w:spacing w:before="44" w:line="271" w:lineRule="auto"/>
                        <w:ind w:right="664"/>
                      </w:pPr>
                      <w:r>
                        <w:t>Investment performance shall be reviewed by the Board at least annually</w:t>
                      </w:r>
                      <w:r>
                        <w:rPr>
                          <w:spacing w:val="-42"/>
                        </w:rPr>
                        <w:t xml:space="preserve"> </w:t>
                      </w:r>
                      <w:r>
                        <w:t>against market indices of similar</w:t>
                      </w:r>
                      <w:r>
                        <w:rPr>
                          <w:spacing w:val="-3"/>
                        </w:rPr>
                        <w:t xml:space="preserve"> </w:t>
                      </w:r>
                      <w:r>
                        <w:t>investments.</w:t>
                      </w:r>
                    </w:p>
                  </w:txbxContent>
                </v:textbox>
                <w10:anchorlock/>
              </v:shape>
            </w:pict>
          </mc:Fallback>
        </mc:AlternateContent>
      </w:r>
    </w:p>
    <w:p w:rsidR="00B9129A" w:rsidRDefault="00B9129A">
      <w:pPr>
        <w:pStyle w:val="BodyText"/>
        <w:ind w:firstLine="0"/>
        <w:rPr>
          <w:rFonts w:ascii="Times New Roman"/>
          <w:sz w:val="20"/>
        </w:rPr>
      </w:pPr>
    </w:p>
    <w:p w:rsidR="00B9129A" w:rsidRDefault="00B9129A">
      <w:pPr>
        <w:pStyle w:val="BodyText"/>
        <w:ind w:firstLine="0"/>
        <w:rPr>
          <w:rFonts w:ascii="Times New Roman"/>
          <w:sz w:val="20"/>
        </w:rPr>
      </w:pPr>
    </w:p>
    <w:p w:rsidR="00B9129A" w:rsidRDefault="00B9129A">
      <w:pPr>
        <w:pStyle w:val="BodyText"/>
        <w:spacing w:before="11"/>
        <w:ind w:firstLine="0"/>
        <w:rPr>
          <w:rFonts w:ascii="Times New Roman"/>
          <w:sz w:val="20"/>
        </w:rPr>
      </w:pPr>
    </w:p>
    <w:p w:rsidR="00B9129A" w:rsidRDefault="00B9129A">
      <w:pPr>
        <w:pStyle w:val="BodyText"/>
        <w:ind w:left="284" w:firstLine="0"/>
        <w:rPr>
          <w:rFonts w:ascii="Times New Roman"/>
          <w:sz w:val="20"/>
        </w:rPr>
      </w:pPr>
    </w:p>
    <w:p w:rsidR="007B0D6F" w:rsidRDefault="007B0D6F">
      <w:pPr>
        <w:pStyle w:val="BodyText"/>
        <w:ind w:left="284" w:firstLine="0"/>
        <w:rPr>
          <w:rFonts w:ascii="Times New Roman"/>
          <w:sz w:val="20"/>
        </w:rPr>
      </w:pPr>
    </w:p>
    <w:p w:rsidR="007B0D6F" w:rsidRDefault="007B0D6F">
      <w:pPr>
        <w:pStyle w:val="BodyText"/>
        <w:ind w:left="284" w:firstLine="0"/>
        <w:rPr>
          <w:rFonts w:ascii="Times New Roman"/>
          <w:sz w:val="20"/>
        </w:rPr>
      </w:pPr>
    </w:p>
    <w:sectPr w:rsidR="007B0D6F" w:rsidSect="008860C2">
      <w:footerReference w:type="default" r:id="rId14"/>
      <w:pgSz w:w="12240" w:h="15840"/>
      <w:pgMar w:top="1500" w:right="1220" w:bottom="580" w:left="1060" w:header="0" w:footer="38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C91" w:rsidRDefault="007B0D6F">
      <w:r>
        <w:separator/>
      </w:r>
    </w:p>
  </w:endnote>
  <w:endnote w:type="continuationSeparator" w:id="0">
    <w:p w:rsidR="00825C91" w:rsidRDefault="007B0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688" w:rsidRDefault="0022568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796872"/>
      <w:docPartObj>
        <w:docPartGallery w:val="Page Numbers (Bottom of Page)"/>
        <w:docPartUnique/>
      </w:docPartObj>
    </w:sdtPr>
    <w:sdtEndPr/>
    <w:sdtContent>
      <w:sdt>
        <w:sdtPr>
          <w:id w:val="-1769616900"/>
          <w:docPartObj>
            <w:docPartGallery w:val="Page Numbers (Top of Page)"/>
            <w:docPartUnique/>
          </w:docPartObj>
        </w:sdtPr>
        <w:sdtEndPr/>
        <w:sdtContent>
          <w:p w:rsidR="008860C2" w:rsidRDefault="008860C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E202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E202A">
              <w:rPr>
                <w:b/>
                <w:bCs/>
                <w:noProof/>
              </w:rPr>
              <w:t>3</w:t>
            </w:r>
            <w:r>
              <w:rPr>
                <w:b/>
                <w:bCs/>
                <w:sz w:val="24"/>
                <w:szCs w:val="24"/>
              </w:rPr>
              <w:fldChar w:fldCharType="end"/>
            </w:r>
          </w:p>
        </w:sdtContent>
      </w:sdt>
    </w:sdtContent>
  </w:sdt>
  <w:p w:rsidR="00B9129A" w:rsidRDefault="00B9129A">
    <w:pPr>
      <w:pStyle w:val="BodyText"/>
      <w:spacing w:line="14" w:lineRule="auto"/>
      <w:ind w:firstLine="0"/>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375" w:type="dxa"/>
      <w:tblLook w:val="04A0" w:firstRow="1" w:lastRow="0" w:firstColumn="1" w:lastColumn="0" w:noHBand="0" w:noVBand="1"/>
    </w:tblPr>
    <w:tblGrid>
      <w:gridCol w:w="1530"/>
      <w:gridCol w:w="1933"/>
      <w:gridCol w:w="1933"/>
      <w:gridCol w:w="1933"/>
      <w:gridCol w:w="2021"/>
    </w:tblGrid>
    <w:tr w:rsidR="00697A4C" w:rsidTr="0026547F">
      <w:tc>
        <w:tcPr>
          <w:tcW w:w="1530" w:type="dxa"/>
        </w:tcPr>
        <w:p w:rsidR="00697A4C" w:rsidRDefault="00697A4C" w:rsidP="00697A4C">
          <w:pPr>
            <w:pStyle w:val="Footer"/>
          </w:pPr>
          <w:r>
            <w:t>Policy Level</w:t>
          </w:r>
        </w:p>
      </w:tc>
      <w:tc>
        <w:tcPr>
          <w:tcW w:w="1933" w:type="dxa"/>
        </w:tcPr>
        <w:p w:rsidR="00697A4C" w:rsidRDefault="00697A4C" w:rsidP="00697A4C">
          <w:pPr>
            <w:pStyle w:val="Footer"/>
          </w:pPr>
          <w:r>
            <w:t>Date Approved</w:t>
          </w:r>
        </w:p>
      </w:tc>
      <w:tc>
        <w:tcPr>
          <w:tcW w:w="1933" w:type="dxa"/>
        </w:tcPr>
        <w:p w:rsidR="00697A4C" w:rsidRDefault="00697A4C" w:rsidP="00697A4C">
          <w:pPr>
            <w:pStyle w:val="Footer"/>
          </w:pPr>
          <w:r>
            <w:t>Review Committee</w:t>
          </w:r>
        </w:p>
      </w:tc>
      <w:tc>
        <w:tcPr>
          <w:tcW w:w="1933" w:type="dxa"/>
        </w:tcPr>
        <w:p w:rsidR="00697A4C" w:rsidRDefault="00697A4C" w:rsidP="00697A4C">
          <w:pPr>
            <w:pStyle w:val="Footer"/>
          </w:pPr>
          <w:r>
            <w:t>Review Month</w:t>
          </w:r>
        </w:p>
      </w:tc>
      <w:tc>
        <w:tcPr>
          <w:tcW w:w="2021" w:type="dxa"/>
        </w:tcPr>
        <w:p w:rsidR="00697A4C" w:rsidRDefault="00697A4C" w:rsidP="00697A4C">
          <w:pPr>
            <w:pStyle w:val="Footer"/>
          </w:pPr>
          <w:r>
            <w:t>Policy Tracker</w:t>
          </w:r>
        </w:p>
      </w:tc>
    </w:tr>
    <w:tr w:rsidR="00697A4C" w:rsidTr="0026547F">
      <w:tc>
        <w:tcPr>
          <w:tcW w:w="1530" w:type="dxa"/>
        </w:tcPr>
        <w:p w:rsidR="00697A4C" w:rsidRDefault="00697A4C" w:rsidP="00697A4C">
          <w:pPr>
            <w:pStyle w:val="Footer"/>
          </w:pPr>
          <w:r>
            <w:t>Board</w:t>
          </w:r>
        </w:p>
      </w:tc>
      <w:tc>
        <w:tcPr>
          <w:tcW w:w="1933" w:type="dxa"/>
        </w:tcPr>
        <w:p w:rsidR="00697A4C" w:rsidRDefault="0089339E" w:rsidP="00697A4C">
          <w:pPr>
            <w:pStyle w:val="Footer"/>
          </w:pPr>
          <w:bookmarkStart w:id="0" w:name="_GoBack"/>
          <w:r w:rsidRPr="00FE202A">
            <w:t>12/06/2018</w:t>
          </w:r>
          <w:bookmarkEnd w:id="0"/>
        </w:p>
      </w:tc>
      <w:tc>
        <w:tcPr>
          <w:tcW w:w="1933" w:type="dxa"/>
        </w:tcPr>
        <w:p w:rsidR="00697A4C" w:rsidRDefault="00697A4C" w:rsidP="00697A4C">
          <w:pPr>
            <w:pStyle w:val="Footer"/>
          </w:pPr>
          <w:r>
            <w:t>Board Finance</w:t>
          </w:r>
        </w:p>
      </w:tc>
      <w:tc>
        <w:tcPr>
          <w:tcW w:w="1933" w:type="dxa"/>
        </w:tcPr>
        <w:p w:rsidR="00697A4C" w:rsidRDefault="00697A4C" w:rsidP="00697A4C">
          <w:pPr>
            <w:pStyle w:val="Footer"/>
          </w:pPr>
          <w:r>
            <w:t>October</w:t>
          </w:r>
        </w:p>
      </w:tc>
      <w:tc>
        <w:tcPr>
          <w:tcW w:w="2021" w:type="dxa"/>
        </w:tcPr>
        <w:p w:rsidR="00697A4C" w:rsidRDefault="00697A4C" w:rsidP="00697A4C">
          <w:pPr>
            <w:pStyle w:val="Footer"/>
          </w:pPr>
          <w:r>
            <w:t>Finance-01</w:t>
          </w:r>
        </w:p>
      </w:tc>
    </w:tr>
  </w:tbl>
  <w:p w:rsidR="00697A4C" w:rsidRDefault="00697A4C">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544684"/>
      <w:docPartObj>
        <w:docPartGallery w:val="Page Numbers (Bottom of Page)"/>
        <w:docPartUnique/>
      </w:docPartObj>
    </w:sdtPr>
    <w:sdtEndPr/>
    <w:sdtContent>
      <w:sdt>
        <w:sdtPr>
          <w:id w:val="-70201317"/>
          <w:docPartObj>
            <w:docPartGallery w:val="Page Numbers (Top of Page)"/>
            <w:docPartUnique/>
          </w:docPartObj>
        </w:sdtPr>
        <w:sdtEndPr/>
        <w:sdtContent>
          <w:p w:rsidR="008860C2" w:rsidRDefault="008860C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E202A">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E202A">
              <w:rPr>
                <w:b/>
                <w:bCs/>
                <w:noProof/>
              </w:rPr>
              <w:t>3</w:t>
            </w:r>
            <w:r>
              <w:rPr>
                <w:b/>
                <w:bCs/>
                <w:sz w:val="24"/>
                <w:szCs w:val="24"/>
              </w:rPr>
              <w:fldChar w:fldCharType="end"/>
            </w:r>
          </w:p>
        </w:sdtContent>
      </w:sdt>
    </w:sdtContent>
  </w:sdt>
  <w:p w:rsidR="008860C2" w:rsidRDefault="008860C2">
    <w:pPr>
      <w:pStyle w:val="BodyText"/>
      <w:spacing w:line="14" w:lineRule="auto"/>
      <w:ind w:firstLine="0"/>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C91" w:rsidRDefault="007B0D6F">
      <w:r>
        <w:separator/>
      </w:r>
    </w:p>
  </w:footnote>
  <w:footnote w:type="continuationSeparator" w:id="0">
    <w:p w:rsidR="00825C91" w:rsidRDefault="007B0D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688" w:rsidRDefault="0022568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688" w:rsidRDefault="0022568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0C2" w:rsidRDefault="008860C2">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4180"/>
    <w:multiLevelType w:val="hybridMultilevel"/>
    <w:tmpl w:val="0B66A6B2"/>
    <w:lvl w:ilvl="0" w:tplc="79F41DB0">
      <w:numFmt w:val="bullet"/>
      <w:lvlText w:val=""/>
      <w:lvlJc w:val="left"/>
      <w:pPr>
        <w:ind w:left="823" w:hanging="360"/>
      </w:pPr>
      <w:rPr>
        <w:rFonts w:ascii="Symbol" w:eastAsia="Symbol" w:hAnsi="Symbol" w:cs="Symbol" w:hint="default"/>
        <w:w w:val="99"/>
        <w:sz w:val="26"/>
        <w:szCs w:val="26"/>
        <w:lang w:val="en-US" w:eastAsia="en-US" w:bidi="en-US"/>
      </w:rPr>
    </w:lvl>
    <w:lvl w:ilvl="1" w:tplc="3E86EBBA">
      <w:numFmt w:val="bullet"/>
      <w:lvlText w:val="•"/>
      <w:lvlJc w:val="left"/>
      <w:pPr>
        <w:ind w:left="1691" w:hanging="360"/>
      </w:pPr>
      <w:rPr>
        <w:rFonts w:hint="default"/>
        <w:lang w:val="en-US" w:eastAsia="en-US" w:bidi="en-US"/>
      </w:rPr>
    </w:lvl>
    <w:lvl w:ilvl="2" w:tplc="CAA01648">
      <w:numFmt w:val="bullet"/>
      <w:lvlText w:val="•"/>
      <w:lvlJc w:val="left"/>
      <w:pPr>
        <w:ind w:left="2562" w:hanging="360"/>
      </w:pPr>
      <w:rPr>
        <w:rFonts w:hint="default"/>
        <w:lang w:val="en-US" w:eastAsia="en-US" w:bidi="en-US"/>
      </w:rPr>
    </w:lvl>
    <w:lvl w:ilvl="3" w:tplc="40CA1134">
      <w:numFmt w:val="bullet"/>
      <w:lvlText w:val="•"/>
      <w:lvlJc w:val="left"/>
      <w:pPr>
        <w:ind w:left="3434" w:hanging="360"/>
      </w:pPr>
      <w:rPr>
        <w:rFonts w:hint="default"/>
        <w:lang w:val="en-US" w:eastAsia="en-US" w:bidi="en-US"/>
      </w:rPr>
    </w:lvl>
    <w:lvl w:ilvl="4" w:tplc="3FE6D10C">
      <w:numFmt w:val="bullet"/>
      <w:lvlText w:val="•"/>
      <w:lvlJc w:val="left"/>
      <w:pPr>
        <w:ind w:left="4305" w:hanging="360"/>
      </w:pPr>
      <w:rPr>
        <w:rFonts w:hint="default"/>
        <w:lang w:val="en-US" w:eastAsia="en-US" w:bidi="en-US"/>
      </w:rPr>
    </w:lvl>
    <w:lvl w:ilvl="5" w:tplc="40A0C730">
      <w:numFmt w:val="bullet"/>
      <w:lvlText w:val="•"/>
      <w:lvlJc w:val="left"/>
      <w:pPr>
        <w:ind w:left="5177" w:hanging="360"/>
      </w:pPr>
      <w:rPr>
        <w:rFonts w:hint="default"/>
        <w:lang w:val="en-US" w:eastAsia="en-US" w:bidi="en-US"/>
      </w:rPr>
    </w:lvl>
    <w:lvl w:ilvl="6" w:tplc="F8D24AF2">
      <w:numFmt w:val="bullet"/>
      <w:lvlText w:val="•"/>
      <w:lvlJc w:val="left"/>
      <w:pPr>
        <w:ind w:left="6048" w:hanging="360"/>
      </w:pPr>
      <w:rPr>
        <w:rFonts w:hint="default"/>
        <w:lang w:val="en-US" w:eastAsia="en-US" w:bidi="en-US"/>
      </w:rPr>
    </w:lvl>
    <w:lvl w:ilvl="7" w:tplc="A50C6720">
      <w:numFmt w:val="bullet"/>
      <w:lvlText w:val="•"/>
      <w:lvlJc w:val="left"/>
      <w:pPr>
        <w:ind w:left="6920" w:hanging="360"/>
      </w:pPr>
      <w:rPr>
        <w:rFonts w:hint="default"/>
        <w:lang w:val="en-US" w:eastAsia="en-US" w:bidi="en-US"/>
      </w:rPr>
    </w:lvl>
    <w:lvl w:ilvl="8" w:tplc="8BEC6D02">
      <w:numFmt w:val="bullet"/>
      <w:lvlText w:val="•"/>
      <w:lvlJc w:val="left"/>
      <w:pPr>
        <w:ind w:left="7791" w:hanging="360"/>
      </w:pPr>
      <w:rPr>
        <w:rFonts w:hint="default"/>
        <w:lang w:val="en-US" w:eastAsia="en-US" w:bidi="en-US"/>
      </w:rPr>
    </w:lvl>
  </w:abstractNum>
  <w:abstractNum w:abstractNumId="1" w15:restartNumberingAfterBreak="0">
    <w:nsid w:val="1E9A33A5"/>
    <w:multiLevelType w:val="hybridMultilevel"/>
    <w:tmpl w:val="1A545AB8"/>
    <w:lvl w:ilvl="0" w:tplc="99C0FB74">
      <w:numFmt w:val="bullet"/>
      <w:lvlText w:val=""/>
      <w:lvlJc w:val="left"/>
      <w:pPr>
        <w:ind w:left="1117" w:hanging="360"/>
      </w:pPr>
      <w:rPr>
        <w:rFonts w:ascii="Symbol" w:eastAsia="Symbol" w:hAnsi="Symbol" w:cs="Symbol" w:hint="default"/>
        <w:w w:val="99"/>
        <w:sz w:val="26"/>
        <w:szCs w:val="26"/>
        <w:lang w:val="en-US" w:eastAsia="en-US" w:bidi="en-US"/>
      </w:rPr>
    </w:lvl>
    <w:lvl w:ilvl="1" w:tplc="43269E5E">
      <w:numFmt w:val="bullet"/>
      <w:lvlText w:val="o"/>
      <w:lvlJc w:val="left"/>
      <w:pPr>
        <w:ind w:left="1837" w:hanging="360"/>
      </w:pPr>
      <w:rPr>
        <w:rFonts w:ascii="Courier New" w:eastAsia="Courier New" w:hAnsi="Courier New" w:cs="Courier New" w:hint="default"/>
        <w:w w:val="99"/>
        <w:sz w:val="26"/>
        <w:szCs w:val="26"/>
        <w:lang w:val="en-US" w:eastAsia="en-US" w:bidi="en-US"/>
      </w:rPr>
    </w:lvl>
    <w:lvl w:ilvl="2" w:tplc="F9968AF4">
      <w:numFmt w:val="bullet"/>
      <w:lvlText w:val="•"/>
      <w:lvlJc w:val="left"/>
      <w:pPr>
        <w:ind w:left="2742" w:hanging="360"/>
      </w:pPr>
      <w:rPr>
        <w:rFonts w:hint="default"/>
        <w:lang w:val="en-US" w:eastAsia="en-US" w:bidi="en-US"/>
      </w:rPr>
    </w:lvl>
    <w:lvl w:ilvl="3" w:tplc="408A5056">
      <w:numFmt w:val="bullet"/>
      <w:lvlText w:val="•"/>
      <w:lvlJc w:val="left"/>
      <w:pPr>
        <w:ind w:left="3644" w:hanging="360"/>
      </w:pPr>
      <w:rPr>
        <w:rFonts w:hint="default"/>
        <w:lang w:val="en-US" w:eastAsia="en-US" w:bidi="en-US"/>
      </w:rPr>
    </w:lvl>
    <w:lvl w:ilvl="4" w:tplc="46E8A7FE">
      <w:numFmt w:val="bullet"/>
      <w:lvlText w:val="•"/>
      <w:lvlJc w:val="left"/>
      <w:pPr>
        <w:ind w:left="4546" w:hanging="360"/>
      </w:pPr>
      <w:rPr>
        <w:rFonts w:hint="default"/>
        <w:lang w:val="en-US" w:eastAsia="en-US" w:bidi="en-US"/>
      </w:rPr>
    </w:lvl>
    <w:lvl w:ilvl="5" w:tplc="52760EDC">
      <w:numFmt w:val="bullet"/>
      <w:lvlText w:val="•"/>
      <w:lvlJc w:val="left"/>
      <w:pPr>
        <w:ind w:left="5448" w:hanging="360"/>
      </w:pPr>
      <w:rPr>
        <w:rFonts w:hint="default"/>
        <w:lang w:val="en-US" w:eastAsia="en-US" w:bidi="en-US"/>
      </w:rPr>
    </w:lvl>
    <w:lvl w:ilvl="6" w:tplc="6B4C9E22">
      <w:numFmt w:val="bullet"/>
      <w:lvlText w:val="•"/>
      <w:lvlJc w:val="left"/>
      <w:pPr>
        <w:ind w:left="6351" w:hanging="360"/>
      </w:pPr>
      <w:rPr>
        <w:rFonts w:hint="default"/>
        <w:lang w:val="en-US" w:eastAsia="en-US" w:bidi="en-US"/>
      </w:rPr>
    </w:lvl>
    <w:lvl w:ilvl="7" w:tplc="FCC0154E">
      <w:numFmt w:val="bullet"/>
      <w:lvlText w:val="•"/>
      <w:lvlJc w:val="left"/>
      <w:pPr>
        <w:ind w:left="7253" w:hanging="360"/>
      </w:pPr>
      <w:rPr>
        <w:rFonts w:hint="default"/>
        <w:lang w:val="en-US" w:eastAsia="en-US" w:bidi="en-US"/>
      </w:rPr>
    </w:lvl>
    <w:lvl w:ilvl="8" w:tplc="B32C18DA">
      <w:numFmt w:val="bullet"/>
      <w:lvlText w:val="•"/>
      <w:lvlJc w:val="left"/>
      <w:pPr>
        <w:ind w:left="8155"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29A"/>
    <w:rsid w:val="00225688"/>
    <w:rsid w:val="00697A4C"/>
    <w:rsid w:val="007B0D6F"/>
    <w:rsid w:val="00825C91"/>
    <w:rsid w:val="008860C2"/>
    <w:rsid w:val="0089339E"/>
    <w:rsid w:val="00B63F0C"/>
    <w:rsid w:val="00B9129A"/>
    <w:rsid w:val="00DA1D8D"/>
    <w:rsid w:val="00FE2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3C54E5F-78A8-4770-8F94-41E58A6DB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lang w:bidi="en-US"/>
    </w:rPr>
  </w:style>
  <w:style w:type="paragraph" w:styleId="Heading1">
    <w:name w:val="heading 1"/>
    <w:basedOn w:val="Normal"/>
    <w:uiPriority w:val="1"/>
    <w:qFormat/>
    <w:pPr>
      <w:spacing w:before="100"/>
      <w:ind w:left="3664" w:right="3506"/>
      <w:jc w:val="center"/>
      <w:outlineLvl w:val="0"/>
    </w:pPr>
    <w:rPr>
      <w:b/>
      <w:bCs/>
      <w:sz w:val="36"/>
      <w:szCs w:val="36"/>
    </w:rPr>
  </w:style>
  <w:style w:type="paragraph" w:styleId="Heading2">
    <w:name w:val="heading 2"/>
    <w:basedOn w:val="Normal"/>
    <w:uiPriority w:val="1"/>
    <w:qFormat/>
    <w:pPr>
      <w:spacing w:before="1"/>
      <w:ind w:left="397"/>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rPr>
      <w:sz w:val="26"/>
      <w:szCs w:val="26"/>
    </w:rPr>
  </w:style>
  <w:style w:type="paragraph" w:styleId="ListParagraph">
    <w:name w:val="List Paragraph"/>
    <w:basedOn w:val="Normal"/>
    <w:uiPriority w:val="1"/>
    <w:qFormat/>
    <w:pPr>
      <w:spacing w:before="34"/>
      <w:ind w:left="1837" w:hanging="360"/>
    </w:pPr>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7B0D6F"/>
    <w:pPr>
      <w:widowControl/>
      <w:tabs>
        <w:tab w:val="center" w:pos="4680"/>
        <w:tab w:val="right" w:pos="9360"/>
      </w:tabs>
      <w:autoSpaceDE/>
      <w:autoSpaceDN/>
    </w:pPr>
    <w:rPr>
      <w:rFonts w:asciiTheme="minorHAnsi" w:eastAsiaTheme="minorHAnsi" w:hAnsiTheme="minorHAnsi" w:cstheme="minorBidi"/>
      <w:lang w:bidi="ar-SA"/>
    </w:rPr>
  </w:style>
  <w:style w:type="character" w:customStyle="1" w:styleId="FooterChar">
    <w:name w:val="Footer Char"/>
    <w:basedOn w:val="DefaultParagraphFont"/>
    <w:link w:val="Footer"/>
    <w:uiPriority w:val="99"/>
    <w:rsid w:val="007B0D6F"/>
  </w:style>
  <w:style w:type="table" w:styleId="TableGrid">
    <w:name w:val="Table Grid"/>
    <w:basedOn w:val="TableNormal"/>
    <w:uiPriority w:val="39"/>
    <w:rsid w:val="007B0D6F"/>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7A4C"/>
    <w:pPr>
      <w:tabs>
        <w:tab w:val="center" w:pos="4680"/>
        <w:tab w:val="right" w:pos="9360"/>
      </w:tabs>
    </w:pPr>
  </w:style>
  <w:style w:type="character" w:customStyle="1" w:styleId="HeaderChar">
    <w:name w:val="Header Char"/>
    <w:basedOn w:val="DefaultParagraphFont"/>
    <w:link w:val="Header"/>
    <w:uiPriority w:val="99"/>
    <w:rsid w:val="00697A4C"/>
    <w:rPr>
      <w:rFonts w:ascii="Garamond" w:eastAsia="Garamond" w:hAnsi="Garamond" w:cs="Garamond"/>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Green</dc:creator>
  <cp:lastModifiedBy>Sheri Jones</cp:lastModifiedBy>
  <cp:revision>9</cp:revision>
  <dcterms:created xsi:type="dcterms:W3CDTF">2018-12-06T17:38:00Z</dcterms:created>
  <dcterms:modified xsi:type="dcterms:W3CDTF">2018-12-07T19:47:00Z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2018-11-30T00:00:00Z</vt:filetime>
  </property>
  <property fmtid="{D5CDD505-2E9C-101B-9397-08002B2CF9AE}" pid="3" name="Creator">
    <vt:lpwstr>Microsoft® Word 2016</vt:lpwstr>
  </property>
  <property fmtid="{D5CDD505-2E9C-101B-9397-08002B2CF9AE}" pid="4" name="LastSaved">
    <vt:filetime>2018-12-06T00:00:00Z</vt:filetime>
  </property>
</Properties>
</file>